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C1144A" w14:textId="5517FB14" w:rsidR="00E62A0C" w:rsidRPr="00C31CA4" w:rsidRDefault="0026731D" w:rsidP="00C31CA4">
      <w:pPr>
        <w:jc w:val="lowKashida"/>
        <w:rPr>
          <w:rFonts w:cstheme="minorHAnsi"/>
          <w:sz w:val="32"/>
          <w:szCs w:val="32"/>
          <w:lang w:val="en"/>
        </w:rPr>
      </w:pPr>
      <w:r w:rsidRPr="00C31CA4">
        <w:rPr>
          <w:rFonts w:cstheme="minorHAnsi"/>
          <w:noProof/>
          <w:sz w:val="32"/>
          <w:szCs w:val="32"/>
          <w:lang w:val="en"/>
        </w:rPr>
        <w:drawing>
          <wp:anchor distT="0" distB="0" distL="114300" distR="114300" simplePos="0" relativeHeight="251658240" behindDoc="0" locked="0" layoutInCell="1" allowOverlap="1" wp14:anchorId="3015AAD8" wp14:editId="22F80448">
            <wp:simplePos x="1371600" y="1104900"/>
            <wp:positionH relativeFrom="margin">
              <wp:align>center</wp:align>
            </wp:positionH>
            <wp:positionV relativeFrom="margin">
              <wp:align>top</wp:align>
            </wp:positionV>
            <wp:extent cx="5486400" cy="8229600"/>
            <wp:effectExtent l="0" t="0" r="0" b="0"/>
            <wp:wrapSquare wrapText="bothSides"/>
            <wp:docPr id="14313202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20241"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anchor>
        </w:drawing>
      </w:r>
    </w:p>
    <w:p w14:paraId="659BEB25" w14:textId="77777777" w:rsidR="00E62A0C" w:rsidRPr="00C31CA4" w:rsidRDefault="00E62A0C" w:rsidP="00C31CA4">
      <w:pPr>
        <w:jc w:val="lowKashida"/>
        <w:rPr>
          <w:rFonts w:cstheme="minorHAnsi"/>
          <w:sz w:val="32"/>
          <w:szCs w:val="32"/>
          <w:lang w:val="en"/>
        </w:rPr>
      </w:pPr>
    </w:p>
    <w:p w14:paraId="64F3CCB9" w14:textId="77777777" w:rsidR="00E62A0C" w:rsidRPr="00C31CA4" w:rsidRDefault="00E62A0C" w:rsidP="00C31CA4">
      <w:pPr>
        <w:jc w:val="lowKashida"/>
        <w:rPr>
          <w:rFonts w:cstheme="minorHAnsi"/>
          <w:sz w:val="32"/>
          <w:szCs w:val="32"/>
          <w:lang w:val="en"/>
        </w:rPr>
      </w:pPr>
    </w:p>
    <w:p w14:paraId="7600D5DF" w14:textId="77777777" w:rsidR="00E62A0C" w:rsidRPr="00C31CA4" w:rsidRDefault="00E62A0C" w:rsidP="00C31CA4">
      <w:pPr>
        <w:jc w:val="lowKashida"/>
        <w:rPr>
          <w:rFonts w:cstheme="minorHAnsi"/>
          <w:sz w:val="32"/>
          <w:szCs w:val="32"/>
          <w:lang w:val="en"/>
        </w:rPr>
      </w:pPr>
    </w:p>
    <w:p w14:paraId="052F1F2E" w14:textId="77777777" w:rsidR="00E62A0C" w:rsidRPr="00C31CA4" w:rsidRDefault="00E62A0C" w:rsidP="00C31CA4">
      <w:pPr>
        <w:jc w:val="center"/>
        <w:rPr>
          <w:rFonts w:cstheme="minorHAnsi"/>
          <w:sz w:val="32"/>
          <w:szCs w:val="32"/>
          <w:lang w:val="en"/>
        </w:rPr>
      </w:pPr>
    </w:p>
    <w:p w14:paraId="26D7BD6E" w14:textId="77777777" w:rsidR="00C31CA4" w:rsidRPr="00C31CA4" w:rsidRDefault="00C31CA4" w:rsidP="00C31CA4">
      <w:pPr>
        <w:pStyle w:val="NormalWeb"/>
        <w:jc w:val="center"/>
        <w:rPr>
          <w:rFonts w:asciiTheme="minorHAnsi" w:hAnsiTheme="minorHAnsi" w:cstheme="minorHAnsi"/>
          <w:sz w:val="36"/>
          <w:szCs w:val="36"/>
        </w:rPr>
      </w:pPr>
      <w:r w:rsidRPr="00C31CA4">
        <w:rPr>
          <w:rStyle w:val="Strong"/>
          <w:rFonts w:asciiTheme="minorHAnsi" w:eastAsiaTheme="majorEastAsia" w:hAnsiTheme="minorHAnsi" w:cstheme="minorHAnsi"/>
          <w:sz w:val="36"/>
          <w:szCs w:val="36"/>
        </w:rPr>
        <w:t>Joining a Terrorist Organization and Listing on Terrorism Lists: Arbitrary Measures and the Absence of Fair Trial Guarantees</w:t>
      </w:r>
    </w:p>
    <w:p w14:paraId="04B11851" w14:textId="09B6D8CC" w:rsidR="00E62A0C" w:rsidRPr="00C31CA4" w:rsidRDefault="00E62A0C" w:rsidP="00C31CA4">
      <w:pPr>
        <w:jc w:val="center"/>
        <w:rPr>
          <w:rFonts w:cstheme="minorHAnsi"/>
          <w:b/>
          <w:bCs/>
          <w:sz w:val="32"/>
          <w:szCs w:val="32"/>
          <w:rtl/>
        </w:rPr>
      </w:pPr>
      <w:r w:rsidRPr="00C31CA4">
        <w:rPr>
          <w:rFonts w:cstheme="minorHAnsi"/>
          <w:b/>
          <w:bCs/>
          <w:sz w:val="32"/>
          <w:szCs w:val="32"/>
        </w:rPr>
        <w:t>____________________________________________________</w:t>
      </w:r>
    </w:p>
    <w:p w14:paraId="04297695" w14:textId="77777777" w:rsidR="00C31CA4" w:rsidRPr="00C31CA4" w:rsidRDefault="00C31CA4" w:rsidP="00C31CA4">
      <w:pPr>
        <w:pStyle w:val="NormalWeb"/>
        <w:jc w:val="center"/>
        <w:rPr>
          <w:rFonts w:asciiTheme="minorHAnsi" w:hAnsiTheme="minorHAnsi" w:cstheme="minorHAnsi"/>
          <w:b/>
          <w:bCs/>
          <w:sz w:val="32"/>
          <w:szCs w:val="32"/>
        </w:rPr>
      </w:pPr>
      <w:r w:rsidRPr="00C31CA4">
        <w:rPr>
          <w:rFonts w:asciiTheme="minorHAnsi" w:hAnsiTheme="minorHAnsi" w:cstheme="minorHAnsi"/>
          <w:b/>
          <w:bCs/>
          <w:sz w:val="32"/>
          <w:szCs w:val="32"/>
        </w:rPr>
        <w:t xml:space="preserve">An Interim Report on Monitoring Pre-Trial Procedures in Case No. 1360 of 2019 (State Security Prosecution), registered under No. 4743 of 2022 (Felony – El </w:t>
      </w:r>
      <w:proofErr w:type="spellStart"/>
      <w:r w:rsidRPr="00C31CA4">
        <w:rPr>
          <w:rFonts w:asciiTheme="minorHAnsi" w:hAnsiTheme="minorHAnsi" w:cstheme="minorHAnsi"/>
          <w:b/>
          <w:bCs/>
          <w:sz w:val="32"/>
          <w:szCs w:val="32"/>
        </w:rPr>
        <w:t>Shorouk</w:t>
      </w:r>
      <w:proofErr w:type="spellEnd"/>
      <w:r w:rsidRPr="00C31CA4">
        <w:rPr>
          <w:rFonts w:asciiTheme="minorHAnsi" w:hAnsiTheme="minorHAnsi" w:cstheme="minorHAnsi"/>
          <w:b/>
          <w:bCs/>
          <w:sz w:val="32"/>
          <w:szCs w:val="32"/>
        </w:rPr>
        <w:t>), No. 980 of 2022 (Cairo New Courts – Felonies), and No. 333 of 2022 (High State Security Felony).</w:t>
      </w:r>
    </w:p>
    <w:p w14:paraId="24E14BEC" w14:textId="7ACC5B6A" w:rsidR="00E62A0C" w:rsidRPr="00C31CA4" w:rsidRDefault="00357399" w:rsidP="00C31CA4">
      <w:pPr>
        <w:jc w:val="center"/>
        <w:rPr>
          <w:rFonts w:cstheme="minorHAnsi"/>
          <w:b/>
          <w:sz w:val="32"/>
          <w:szCs w:val="32"/>
          <w:u w:val="single"/>
          <w:lang w:val="en"/>
        </w:rPr>
      </w:pPr>
      <w:r w:rsidRPr="00C31CA4">
        <w:rPr>
          <w:rFonts w:cstheme="minorHAnsi"/>
          <w:b/>
          <w:noProof/>
          <w:sz w:val="32"/>
          <w:szCs w:val="32"/>
          <w:u w:val="single"/>
          <w:lang w:val="en"/>
        </w:rPr>
        <w:drawing>
          <wp:inline distT="0" distB="0" distL="0" distR="0" wp14:anchorId="27546E87" wp14:editId="7C8C8BD9">
            <wp:extent cx="2828925" cy="2828925"/>
            <wp:effectExtent l="0" t="0" r="0" b="0"/>
            <wp:docPr id="321820038" name="Picture 4"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20038" name="Picture 4" descr="A blue and black logo&#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8925" cy="2828925"/>
                    </a:xfrm>
                    <a:prstGeom prst="rect">
                      <a:avLst/>
                    </a:prstGeom>
                  </pic:spPr>
                </pic:pic>
              </a:graphicData>
            </a:graphic>
          </wp:inline>
        </w:drawing>
      </w:r>
    </w:p>
    <w:p w14:paraId="1E58FB1C" w14:textId="77777777" w:rsidR="00E62A0C" w:rsidRPr="00C31CA4" w:rsidRDefault="00E62A0C" w:rsidP="00C31CA4">
      <w:pPr>
        <w:jc w:val="lowKashida"/>
        <w:rPr>
          <w:rFonts w:cstheme="minorHAnsi"/>
          <w:b/>
          <w:sz w:val="32"/>
          <w:szCs w:val="32"/>
          <w:rtl/>
        </w:rPr>
      </w:pPr>
    </w:p>
    <w:p w14:paraId="69EA2CBB" w14:textId="77777777" w:rsidR="00C31CA4" w:rsidRPr="00C31CA4" w:rsidRDefault="00C31CA4" w:rsidP="00C31CA4">
      <w:pPr>
        <w:jc w:val="lowKashida"/>
        <w:rPr>
          <w:rFonts w:cstheme="minorHAnsi"/>
          <w:b/>
          <w:sz w:val="32"/>
          <w:szCs w:val="32"/>
          <w:rtl/>
        </w:rPr>
      </w:pPr>
    </w:p>
    <w:p w14:paraId="62852408" w14:textId="77777777" w:rsidR="00C31CA4" w:rsidRDefault="00C31CA4" w:rsidP="00C31CA4">
      <w:pPr>
        <w:pStyle w:val="NormalWeb"/>
        <w:jc w:val="lowKashida"/>
        <w:rPr>
          <w:rStyle w:val="Strong"/>
          <w:rFonts w:asciiTheme="minorHAnsi" w:eastAsiaTheme="majorEastAsia" w:hAnsiTheme="minorHAnsi" w:cstheme="minorHAnsi"/>
          <w:b w:val="0"/>
          <w:bCs w:val="0"/>
          <w:sz w:val="28"/>
          <w:szCs w:val="28"/>
        </w:rPr>
      </w:pPr>
    </w:p>
    <w:p w14:paraId="56489992" w14:textId="77777777" w:rsidR="004F27B2" w:rsidRDefault="004F27B2" w:rsidP="00C31CA4">
      <w:pPr>
        <w:pStyle w:val="NormalWeb"/>
        <w:jc w:val="lowKashida"/>
        <w:rPr>
          <w:rStyle w:val="Strong"/>
          <w:rFonts w:asciiTheme="minorHAnsi" w:eastAsiaTheme="majorEastAsia" w:hAnsiTheme="minorHAnsi" w:cstheme="minorHAnsi"/>
          <w:b w:val="0"/>
          <w:bCs w:val="0"/>
          <w:sz w:val="28"/>
          <w:szCs w:val="28"/>
        </w:rPr>
      </w:pPr>
    </w:p>
    <w:sdt>
      <w:sdtPr>
        <w:rPr>
          <w:rFonts w:asciiTheme="minorHAnsi" w:hAnsiTheme="minorHAnsi" w:cstheme="minorHAnsi"/>
        </w:rPr>
        <w:id w:val="1825856420"/>
        <w:docPartObj>
          <w:docPartGallery w:val="Table of Contents"/>
          <w:docPartUnique/>
        </w:docPartObj>
      </w:sdtPr>
      <w:sdtEndPr>
        <w:rPr>
          <w:rFonts w:eastAsiaTheme="minorHAnsi"/>
          <w:noProof/>
          <w:color w:val="auto"/>
          <w:kern w:val="2"/>
          <w:sz w:val="24"/>
          <w:szCs w:val="24"/>
          <w14:ligatures w14:val="standardContextual"/>
        </w:rPr>
      </w:sdtEndPr>
      <w:sdtContent>
        <w:p w14:paraId="5D7F85ED" w14:textId="25910659" w:rsidR="00A70702" w:rsidRPr="00A70702" w:rsidRDefault="00A70702" w:rsidP="00A70702">
          <w:pPr>
            <w:pStyle w:val="TOCHeading"/>
            <w:bidi w:val="0"/>
            <w:jc w:val="center"/>
            <w:rPr>
              <w:rFonts w:asciiTheme="minorHAnsi" w:hAnsiTheme="minorHAnsi" w:cstheme="minorHAnsi"/>
            </w:rPr>
          </w:pPr>
          <w:r w:rsidRPr="00A70702">
            <w:rPr>
              <w:rFonts w:asciiTheme="minorHAnsi" w:hAnsiTheme="minorHAnsi" w:cstheme="minorHAnsi"/>
            </w:rPr>
            <w:t>Contents</w:t>
          </w:r>
        </w:p>
        <w:p w14:paraId="4571E641" w14:textId="3EEEE8B8" w:rsidR="00A70702" w:rsidRPr="00A70702" w:rsidRDefault="00A70702" w:rsidP="00A70702">
          <w:pPr>
            <w:pStyle w:val="TOC1"/>
            <w:tabs>
              <w:tab w:val="right" w:leader="dot" w:pos="9350"/>
            </w:tabs>
            <w:jc w:val="lowKashida"/>
            <w:rPr>
              <w:rFonts w:eastAsiaTheme="minorEastAsia"/>
              <w:b/>
              <w:bCs/>
              <w:noProof/>
            </w:rPr>
          </w:pPr>
          <w:r w:rsidRPr="00A70702">
            <w:rPr>
              <w:rFonts w:cstheme="minorHAnsi"/>
              <w:b/>
              <w:bCs/>
            </w:rPr>
            <w:fldChar w:fldCharType="begin"/>
          </w:r>
          <w:r w:rsidRPr="00A70702">
            <w:rPr>
              <w:rFonts w:cstheme="minorHAnsi"/>
              <w:b/>
              <w:bCs/>
            </w:rPr>
            <w:instrText xml:space="preserve"> TOC \o "1-3" \h \z \u </w:instrText>
          </w:r>
          <w:r w:rsidRPr="00A70702">
            <w:rPr>
              <w:rFonts w:cstheme="minorHAnsi"/>
              <w:b/>
              <w:bCs/>
            </w:rPr>
            <w:fldChar w:fldCharType="separate"/>
          </w:r>
          <w:hyperlink w:anchor="_Toc208859229" w:history="1">
            <w:r w:rsidRPr="00A70702">
              <w:rPr>
                <w:rStyle w:val="Hyperlink"/>
                <w:b/>
                <w:bCs/>
                <w:noProof/>
              </w:rPr>
              <w:t>Executive Summary:</w:t>
            </w:r>
            <w:r w:rsidRPr="00A70702">
              <w:rPr>
                <w:b/>
                <w:bCs/>
                <w:noProof/>
                <w:webHidden/>
              </w:rPr>
              <w:tab/>
            </w:r>
            <w:r w:rsidRPr="00A70702">
              <w:rPr>
                <w:b/>
                <w:bCs/>
                <w:noProof/>
                <w:webHidden/>
              </w:rPr>
              <w:fldChar w:fldCharType="begin"/>
            </w:r>
            <w:r w:rsidRPr="00A70702">
              <w:rPr>
                <w:b/>
                <w:bCs/>
                <w:noProof/>
                <w:webHidden/>
              </w:rPr>
              <w:instrText xml:space="preserve"> PAGEREF _Toc208859229 \h </w:instrText>
            </w:r>
            <w:r w:rsidRPr="00A70702">
              <w:rPr>
                <w:b/>
                <w:bCs/>
                <w:noProof/>
                <w:webHidden/>
              </w:rPr>
            </w:r>
            <w:r w:rsidRPr="00A70702">
              <w:rPr>
                <w:b/>
                <w:bCs/>
                <w:noProof/>
                <w:webHidden/>
              </w:rPr>
              <w:fldChar w:fldCharType="separate"/>
            </w:r>
            <w:r w:rsidR="00374704">
              <w:rPr>
                <w:b/>
                <w:bCs/>
                <w:noProof/>
                <w:webHidden/>
              </w:rPr>
              <w:t>4</w:t>
            </w:r>
            <w:r w:rsidRPr="00A70702">
              <w:rPr>
                <w:b/>
                <w:bCs/>
                <w:noProof/>
                <w:webHidden/>
              </w:rPr>
              <w:fldChar w:fldCharType="end"/>
            </w:r>
          </w:hyperlink>
        </w:p>
        <w:p w14:paraId="3D9B18CA" w14:textId="58C835AE" w:rsidR="00A70702" w:rsidRPr="00A70702" w:rsidRDefault="00A70702" w:rsidP="00A70702">
          <w:pPr>
            <w:pStyle w:val="TOC1"/>
            <w:tabs>
              <w:tab w:val="right" w:leader="dot" w:pos="9350"/>
            </w:tabs>
            <w:jc w:val="lowKashida"/>
            <w:rPr>
              <w:rFonts w:eastAsiaTheme="minorEastAsia"/>
              <w:b/>
              <w:bCs/>
              <w:noProof/>
            </w:rPr>
          </w:pPr>
          <w:hyperlink w:anchor="_Toc208859230" w:history="1">
            <w:r w:rsidRPr="00A70702">
              <w:rPr>
                <w:rStyle w:val="Hyperlink"/>
                <w:b/>
                <w:bCs/>
                <w:noProof/>
              </w:rPr>
              <w:t>Report Methodology:</w:t>
            </w:r>
            <w:r w:rsidRPr="00A70702">
              <w:rPr>
                <w:b/>
                <w:bCs/>
                <w:noProof/>
                <w:webHidden/>
              </w:rPr>
              <w:tab/>
            </w:r>
            <w:r w:rsidRPr="00A70702">
              <w:rPr>
                <w:b/>
                <w:bCs/>
                <w:noProof/>
                <w:webHidden/>
              </w:rPr>
              <w:fldChar w:fldCharType="begin"/>
            </w:r>
            <w:r w:rsidRPr="00A70702">
              <w:rPr>
                <w:b/>
                <w:bCs/>
                <w:noProof/>
                <w:webHidden/>
              </w:rPr>
              <w:instrText xml:space="preserve"> PAGEREF _Toc208859230 \h </w:instrText>
            </w:r>
            <w:r w:rsidRPr="00A70702">
              <w:rPr>
                <w:b/>
                <w:bCs/>
                <w:noProof/>
                <w:webHidden/>
              </w:rPr>
            </w:r>
            <w:r w:rsidRPr="00A70702">
              <w:rPr>
                <w:b/>
                <w:bCs/>
                <w:noProof/>
                <w:webHidden/>
              </w:rPr>
              <w:fldChar w:fldCharType="separate"/>
            </w:r>
            <w:r w:rsidR="00374704">
              <w:rPr>
                <w:b/>
                <w:bCs/>
                <w:noProof/>
                <w:webHidden/>
              </w:rPr>
              <w:t>7</w:t>
            </w:r>
            <w:r w:rsidRPr="00A70702">
              <w:rPr>
                <w:b/>
                <w:bCs/>
                <w:noProof/>
                <w:webHidden/>
              </w:rPr>
              <w:fldChar w:fldCharType="end"/>
            </w:r>
          </w:hyperlink>
        </w:p>
        <w:p w14:paraId="0212DAAC" w14:textId="52179356" w:rsidR="00A70702" w:rsidRPr="00A70702" w:rsidRDefault="00A70702" w:rsidP="00A70702">
          <w:pPr>
            <w:pStyle w:val="TOC1"/>
            <w:tabs>
              <w:tab w:val="right" w:leader="dot" w:pos="9350"/>
            </w:tabs>
            <w:jc w:val="lowKashida"/>
            <w:rPr>
              <w:rFonts w:eastAsiaTheme="minorEastAsia"/>
              <w:b/>
              <w:bCs/>
              <w:noProof/>
            </w:rPr>
          </w:pPr>
          <w:hyperlink w:anchor="_Toc208859231" w:history="1">
            <w:r w:rsidRPr="00A70702">
              <w:rPr>
                <w:rStyle w:val="Hyperlink"/>
                <w:b/>
                <w:bCs/>
                <w:noProof/>
              </w:rPr>
              <w:t>Case Facts</w:t>
            </w:r>
            <w:r w:rsidRPr="00A70702">
              <w:rPr>
                <w:b/>
                <w:bCs/>
                <w:noProof/>
                <w:webHidden/>
              </w:rPr>
              <w:tab/>
            </w:r>
            <w:r w:rsidRPr="00A70702">
              <w:rPr>
                <w:b/>
                <w:bCs/>
                <w:noProof/>
                <w:webHidden/>
              </w:rPr>
              <w:fldChar w:fldCharType="begin"/>
            </w:r>
            <w:r w:rsidRPr="00A70702">
              <w:rPr>
                <w:b/>
                <w:bCs/>
                <w:noProof/>
                <w:webHidden/>
              </w:rPr>
              <w:instrText xml:space="preserve"> PAGEREF _Toc208859231 \h </w:instrText>
            </w:r>
            <w:r w:rsidRPr="00A70702">
              <w:rPr>
                <w:b/>
                <w:bCs/>
                <w:noProof/>
                <w:webHidden/>
              </w:rPr>
            </w:r>
            <w:r w:rsidRPr="00A70702">
              <w:rPr>
                <w:b/>
                <w:bCs/>
                <w:noProof/>
                <w:webHidden/>
              </w:rPr>
              <w:fldChar w:fldCharType="separate"/>
            </w:r>
            <w:r w:rsidR="00374704">
              <w:rPr>
                <w:b/>
                <w:bCs/>
                <w:noProof/>
                <w:webHidden/>
              </w:rPr>
              <w:t>8</w:t>
            </w:r>
            <w:r w:rsidRPr="00A70702">
              <w:rPr>
                <w:b/>
                <w:bCs/>
                <w:noProof/>
                <w:webHidden/>
              </w:rPr>
              <w:fldChar w:fldCharType="end"/>
            </w:r>
          </w:hyperlink>
        </w:p>
        <w:p w14:paraId="285BB16F" w14:textId="51A5E717" w:rsidR="00A70702" w:rsidRPr="00A70702" w:rsidRDefault="00A70702" w:rsidP="00A70702">
          <w:pPr>
            <w:pStyle w:val="TOC3"/>
            <w:tabs>
              <w:tab w:val="right" w:leader="dot" w:pos="9350"/>
            </w:tabs>
            <w:jc w:val="lowKashida"/>
            <w:rPr>
              <w:rFonts w:eastAsiaTheme="minorEastAsia"/>
              <w:b/>
              <w:bCs/>
              <w:noProof/>
            </w:rPr>
          </w:pPr>
          <w:hyperlink w:anchor="_Toc208859232" w:history="1">
            <w:r w:rsidRPr="00A70702">
              <w:rPr>
                <w:rStyle w:val="Hyperlink"/>
                <w:b/>
                <w:bCs/>
                <w:noProof/>
              </w:rPr>
              <w:t>First: Listing on Terrorism Lists and the Absence of Procedural Safeguards for Suspects Before Judicial Platforms</w:t>
            </w:r>
            <w:r w:rsidRPr="00A70702">
              <w:rPr>
                <w:b/>
                <w:bCs/>
                <w:noProof/>
                <w:webHidden/>
              </w:rPr>
              <w:tab/>
            </w:r>
            <w:r w:rsidRPr="00A70702">
              <w:rPr>
                <w:b/>
                <w:bCs/>
                <w:noProof/>
                <w:webHidden/>
              </w:rPr>
              <w:fldChar w:fldCharType="begin"/>
            </w:r>
            <w:r w:rsidRPr="00A70702">
              <w:rPr>
                <w:b/>
                <w:bCs/>
                <w:noProof/>
                <w:webHidden/>
              </w:rPr>
              <w:instrText xml:space="preserve"> PAGEREF _Toc208859232 \h </w:instrText>
            </w:r>
            <w:r w:rsidRPr="00A70702">
              <w:rPr>
                <w:b/>
                <w:bCs/>
                <w:noProof/>
                <w:webHidden/>
              </w:rPr>
            </w:r>
            <w:r w:rsidRPr="00A70702">
              <w:rPr>
                <w:b/>
                <w:bCs/>
                <w:noProof/>
                <w:webHidden/>
              </w:rPr>
              <w:fldChar w:fldCharType="separate"/>
            </w:r>
            <w:r w:rsidR="00374704">
              <w:rPr>
                <w:b/>
                <w:bCs/>
                <w:noProof/>
                <w:webHidden/>
              </w:rPr>
              <w:t>11</w:t>
            </w:r>
            <w:r w:rsidRPr="00A70702">
              <w:rPr>
                <w:b/>
                <w:bCs/>
                <w:noProof/>
                <w:webHidden/>
              </w:rPr>
              <w:fldChar w:fldCharType="end"/>
            </w:r>
          </w:hyperlink>
        </w:p>
        <w:p w14:paraId="60B2A499" w14:textId="4A96D087" w:rsidR="00A70702" w:rsidRPr="00A70702" w:rsidRDefault="00A70702" w:rsidP="00A70702">
          <w:pPr>
            <w:pStyle w:val="TOC3"/>
            <w:tabs>
              <w:tab w:val="right" w:leader="dot" w:pos="9350"/>
            </w:tabs>
            <w:jc w:val="lowKashida"/>
            <w:rPr>
              <w:rFonts w:eastAsiaTheme="minorEastAsia"/>
              <w:b/>
              <w:bCs/>
              <w:noProof/>
            </w:rPr>
          </w:pPr>
          <w:hyperlink w:anchor="_Toc208859233" w:history="1">
            <w:r w:rsidRPr="00A70702">
              <w:rPr>
                <w:rStyle w:val="Hyperlink"/>
                <w:b/>
                <w:bCs/>
                <w:noProof/>
              </w:rPr>
              <w:t>II. The Legal Consequences of Listing Defendants on Terrorism Lists – Asset Freezing as a Preventive Measure</w:t>
            </w:r>
            <w:r w:rsidRPr="00A70702">
              <w:rPr>
                <w:b/>
                <w:bCs/>
                <w:noProof/>
                <w:webHidden/>
              </w:rPr>
              <w:tab/>
            </w:r>
            <w:r w:rsidRPr="00A70702">
              <w:rPr>
                <w:b/>
                <w:bCs/>
                <w:noProof/>
                <w:webHidden/>
              </w:rPr>
              <w:fldChar w:fldCharType="begin"/>
            </w:r>
            <w:r w:rsidRPr="00A70702">
              <w:rPr>
                <w:b/>
                <w:bCs/>
                <w:noProof/>
                <w:webHidden/>
              </w:rPr>
              <w:instrText xml:space="preserve"> PAGEREF _Toc208859233 \h </w:instrText>
            </w:r>
            <w:r w:rsidRPr="00A70702">
              <w:rPr>
                <w:b/>
                <w:bCs/>
                <w:noProof/>
                <w:webHidden/>
              </w:rPr>
            </w:r>
            <w:r w:rsidRPr="00A70702">
              <w:rPr>
                <w:b/>
                <w:bCs/>
                <w:noProof/>
                <w:webHidden/>
              </w:rPr>
              <w:fldChar w:fldCharType="separate"/>
            </w:r>
            <w:r w:rsidR="00374704">
              <w:rPr>
                <w:b/>
                <w:bCs/>
                <w:noProof/>
                <w:webHidden/>
              </w:rPr>
              <w:t>14</w:t>
            </w:r>
            <w:r w:rsidRPr="00A70702">
              <w:rPr>
                <w:b/>
                <w:bCs/>
                <w:noProof/>
                <w:webHidden/>
              </w:rPr>
              <w:fldChar w:fldCharType="end"/>
            </w:r>
          </w:hyperlink>
        </w:p>
        <w:p w14:paraId="4061780B" w14:textId="758096A7" w:rsidR="00A70702" w:rsidRPr="00A70702" w:rsidRDefault="00A70702" w:rsidP="00A70702">
          <w:pPr>
            <w:pStyle w:val="TOC3"/>
            <w:tabs>
              <w:tab w:val="right" w:leader="dot" w:pos="9350"/>
            </w:tabs>
            <w:jc w:val="lowKashida"/>
            <w:rPr>
              <w:rFonts w:eastAsiaTheme="minorEastAsia"/>
              <w:b/>
              <w:bCs/>
              <w:noProof/>
            </w:rPr>
          </w:pPr>
          <w:hyperlink w:anchor="_Toc208859234" w:history="1">
            <w:r w:rsidRPr="00A70702">
              <w:rPr>
                <w:rStyle w:val="Hyperlink"/>
                <w:b/>
                <w:bCs/>
                <w:noProof/>
              </w:rPr>
              <w:t>III. The Public Prosecution’s Negligence and Bias in Carrying Out Its Duties During the Investigation Stage</w:t>
            </w:r>
            <w:r w:rsidRPr="00A70702">
              <w:rPr>
                <w:b/>
                <w:bCs/>
                <w:noProof/>
                <w:webHidden/>
              </w:rPr>
              <w:tab/>
            </w:r>
            <w:r w:rsidRPr="00A70702">
              <w:rPr>
                <w:b/>
                <w:bCs/>
                <w:noProof/>
                <w:webHidden/>
              </w:rPr>
              <w:fldChar w:fldCharType="begin"/>
            </w:r>
            <w:r w:rsidRPr="00A70702">
              <w:rPr>
                <w:b/>
                <w:bCs/>
                <w:noProof/>
                <w:webHidden/>
              </w:rPr>
              <w:instrText xml:space="preserve"> PAGEREF _Toc208859234 \h </w:instrText>
            </w:r>
            <w:r w:rsidRPr="00A70702">
              <w:rPr>
                <w:b/>
                <w:bCs/>
                <w:noProof/>
                <w:webHidden/>
              </w:rPr>
            </w:r>
            <w:r w:rsidRPr="00A70702">
              <w:rPr>
                <w:b/>
                <w:bCs/>
                <w:noProof/>
                <w:webHidden/>
              </w:rPr>
              <w:fldChar w:fldCharType="separate"/>
            </w:r>
            <w:r w:rsidR="00374704">
              <w:rPr>
                <w:b/>
                <w:bCs/>
                <w:noProof/>
                <w:webHidden/>
              </w:rPr>
              <w:t>15</w:t>
            </w:r>
            <w:r w:rsidRPr="00A70702">
              <w:rPr>
                <w:b/>
                <w:bCs/>
                <w:noProof/>
                <w:webHidden/>
              </w:rPr>
              <w:fldChar w:fldCharType="end"/>
            </w:r>
          </w:hyperlink>
        </w:p>
        <w:p w14:paraId="76471E80" w14:textId="35B3467C" w:rsidR="00A70702" w:rsidRPr="00A70702" w:rsidRDefault="00A70702" w:rsidP="00A70702">
          <w:pPr>
            <w:pStyle w:val="TOC1"/>
            <w:tabs>
              <w:tab w:val="right" w:leader="dot" w:pos="9350"/>
            </w:tabs>
            <w:jc w:val="lowKashida"/>
            <w:rPr>
              <w:rFonts w:eastAsiaTheme="minorEastAsia"/>
              <w:b/>
              <w:bCs/>
              <w:noProof/>
            </w:rPr>
          </w:pPr>
          <w:hyperlink w:anchor="_Toc208859235" w:history="1">
            <w:r w:rsidRPr="00A70702">
              <w:rPr>
                <w:rStyle w:val="Hyperlink"/>
                <w:b/>
                <w:bCs/>
                <w:noProof/>
              </w:rPr>
              <w:t>Fourth: Violations of the Pre-Trial Stage</w:t>
            </w:r>
            <w:r w:rsidRPr="00A70702">
              <w:rPr>
                <w:b/>
                <w:bCs/>
                <w:noProof/>
                <w:webHidden/>
              </w:rPr>
              <w:tab/>
            </w:r>
            <w:r w:rsidRPr="00A70702">
              <w:rPr>
                <w:b/>
                <w:bCs/>
                <w:noProof/>
                <w:webHidden/>
              </w:rPr>
              <w:fldChar w:fldCharType="begin"/>
            </w:r>
            <w:r w:rsidRPr="00A70702">
              <w:rPr>
                <w:b/>
                <w:bCs/>
                <w:noProof/>
                <w:webHidden/>
              </w:rPr>
              <w:instrText xml:space="preserve"> PAGEREF _Toc208859235 \h </w:instrText>
            </w:r>
            <w:r w:rsidRPr="00A70702">
              <w:rPr>
                <w:b/>
                <w:bCs/>
                <w:noProof/>
                <w:webHidden/>
              </w:rPr>
            </w:r>
            <w:r w:rsidRPr="00A70702">
              <w:rPr>
                <w:b/>
                <w:bCs/>
                <w:noProof/>
                <w:webHidden/>
              </w:rPr>
              <w:fldChar w:fldCharType="separate"/>
            </w:r>
            <w:r w:rsidR="00374704">
              <w:rPr>
                <w:b/>
                <w:bCs/>
                <w:noProof/>
                <w:webHidden/>
              </w:rPr>
              <w:t>19</w:t>
            </w:r>
            <w:r w:rsidRPr="00A70702">
              <w:rPr>
                <w:b/>
                <w:bCs/>
                <w:noProof/>
                <w:webHidden/>
              </w:rPr>
              <w:fldChar w:fldCharType="end"/>
            </w:r>
          </w:hyperlink>
        </w:p>
        <w:p w14:paraId="216A12E8" w14:textId="5F9CD3C8" w:rsidR="00A70702" w:rsidRPr="00A70702" w:rsidRDefault="00A70702" w:rsidP="00A70702">
          <w:pPr>
            <w:pStyle w:val="TOC3"/>
            <w:tabs>
              <w:tab w:val="right" w:leader="dot" w:pos="9350"/>
            </w:tabs>
            <w:jc w:val="lowKashida"/>
            <w:rPr>
              <w:rFonts w:eastAsiaTheme="minorEastAsia"/>
              <w:b/>
              <w:bCs/>
              <w:noProof/>
            </w:rPr>
          </w:pPr>
          <w:hyperlink w:anchor="_Toc208859236" w:history="1">
            <w:r w:rsidRPr="00A70702">
              <w:rPr>
                <w:rStyle w:val="Hyperlink"/>
                <w:b/>
                <w:bCs/>
                <w:noProof/>
              </w:rPr>
              <w:t>1- The Public Prosecution’s Failure and Bias During the Investigative Stage</w:t>
            </w:r>
            <w:r w:rsidRPr="00A70702">
              <w:rPr>
                <w:b/>
                <w:bCs/>
                <w:noProof/>
                <w:webHidden/>
              </w:rPr>
              <w:tab/>
            </w:r>
            <w:r w:rsidRPr="00A70702">
              <w:rPr>
                <w:b/>
                <w:bCs/>
                <w:noProof/>
                <w:webHidden/>
              </w:rPr>
              <w:fldChar w:fldCharType="begin"/>
            </w:r>
            <w:r w:rsidRPr="00A70702">
              <w:rPr>
                <w:b/>
                <w:bCs/>
                <w:noProof/>
                <w:webHidden/>
              </w:rPr>
              <w:instrText xml:space="preserve"> PAGEREF _Toc208859236 \h </w:instrText>
            </w:r>
            <w:r w:rsidRPr="00A70702">
              <w:rPr>
                <w:b/>
                <w:bCs/>
                <w:noProof/>
                <w:webHidden/>
              </w:rPr>
            </w:r>
            <w:r w:rsidRPr="00A70702">
              <w:rPr>
                <w:b/>
                <w:bCs/>
                <w:noProof/>
                <w:webHidden/>
              </w:rPr>
              <w:fldChar w:fldCharType="separate"/>
            </w:r>
            <w:r w:rsidR="00374704">
              <w:rPr>
                <w:b/>
                <w:bCs/>
                <w:noProof/>
                <w:webHidden/>
              </w:rPr>
              <w:t>20</w:t>
            </w:r>
            <w:r w:rsidRPr="00A70702">
              <w:rPr>
                <w:b/>
                <w:bCs/>
                <w:noProof/>
                <w:webHidden/>
              </w:rPr>
              <w:fldChar w:fldCharType="end"/>
            </w:r>
          </w:hyperlink>
        </w:p>
        <w:p w14:paraId="7D64123D" w14:textId="1C21AA8B" w:rsidR="00A70702" w:rsidRPr="00A70702" w:rsidRDefault="00A70702" w:rsidP="00A70702">
          <w:pPr>
            <w:pStyle w:val="TOC3"/>
            <w:tabs>
              <w:tab w:val="right" w:leader="dot" w:pos="9350"/>
            </w:tabs>
            <w:jc w:val="lowKashida"/>
            <w:rPr>
              <w:rFonts w:eastAsiaTheme="minorEastAsia"/>
              <w:b/>
              <w:bCs/>
              <w:noProof/>
            </w:rPr>
          </w:pPr>
          <w:hyperlink w:anchor="_Toc208859237" w:history="1">
            <w:r w:rsidRPr="00A70702">
              <w:rPr>
                <w:rStyle w:val="Hyperlink"/>
                <w:b/>
                <w:bCs/>
                <w:noProof/>
              </w:rPr>
              <w:t>2. The Crime of Enforced Disappearance and the Violation of the Right to Protection from Arbitrary Detention</w:t>
            </w:r>
            <w:r w:rsidRPr="00A70702">
              <w:rPr>
                <w:b/>
                <w:bCs/>
                <w:noProof/>
                <w:webHidden/>
              </w:rPr>
              <w:tab/>
            </w:r>
            <w:r w:rsidRPr="00A70702">
              <w:rPr>
                <w:b/>
                <w:bCs/>
                <w:noProof/>
                <w:webHidden/>
              </w:rPr>
              <w:fldChar w:fldCharType="begin"/>
            </w:r>
            <w:r w:rsidRPr="00A70702">
              <w:rPr>
                <w:b/>
                <w:bCs/>
                <w:noProof/>
                <w:webHidden/>
              </w:rPr>
              <w:instrText xml:space="preserve"> PAGEREF _Toc208859237 \h </w:instrText>
            </w:r>
            <w:r w:rsidRPr="00A70702">
              <w:rPr>
                <w:b/>
                <w:bCs/>
                <w:noProof/>
                <w:webHidden/>
              </w:rPr>
            </w:r>
            <w:r w:rsidRPr="00A70702">
              <w:rPr>
                <w:b/>
                <w:bCs/>
                <w:noProof/>
                <w:webHidden/>
              </w:rPr>
              <w:fldChar w:fldCharType="separate"/>
            </w:r>
            <w:r w:rsidR="00374704">
              <w:rPr>
                <w:b/>
                <w:bCs/>
                <w:noProof/>
                <w:webHidden/>
              </w:rPr>
              <w:t>23</w:t>
            </w:r>
            <w:r w:rsidRPr="00A70702">
              <w:rPr>
                <w:b/>
                <w:bCs/>
                <w:noProof/>
                <w:webHidden/>
              </w:rPr>
              <w:fldChar w:fldCharType="end"/>
            </w:r>
          </w:hyperlink>
        </w:p>
        <w:p w14:paraId="031CA4B3" w14:textId="39E729C6" w:rsidR="00A70702" w:rsidRPr="00A70702" w:rsidRDefault="00A70702" w:rsidP="00A70702">
          <w:pPr>
            <w:pStyle w:val="TOC3"/>
            <w:tabs>
              <w:tab w:val="right" w:leader="dot" w:pos="9350"/>
            </w:tabs>
            <w:jc w:val="lowKashida"/>
            <w:rPr>
              <w:rFonts w:eastAsiaTheme="minorEastAsia"/>
              <w:b/>
              <w:bCs/>
              <w:noProof/>
            </w:rPr>
          </w:pPr>
          <w:hyperlink w:anchor="_Toc208859238" w:history="1">
            <w:r w:rsidRPr="00A70702">
              <w:rPr>
                <w:rStyle w:val="Hyperlink"/>
                <w:b/>
                <w:bCs/>
                <w:noProof/>
              </w:rPr>
              <w:t>(b) Prolonged Pretrial Detention and the Violation of the Right to Protection from Arbitrary Detention</w:t>
            </w:r>
            <w:r w:rsidRPr="00A70702">
              <w:rPr>
                <w:b/>
                <w:bCs/>
                <w:noProof/>
                <w:webHidden/>
              </w:rPr>
              <w:tab/>
            </w:r>
            <w:r w:rsidRPr="00A70702">
              <w:rPr>
                <w:b/>
                <w:bCs/>
                <w:noProof/>
                <w:webHidden/>
              </w:rPr>
              <w:fldChar w:fldCharType="begin"/>
            </w:r>
            <w:r w:rsidRPr="00A70702">
              <w:rPr>
                <w:b/>
                <w:bCs/>
                <w:noProof/>
                <w:webHidden/>
              </w:rPr>
              <w:instrText xml:space="preserve"> PAGEREF _Toc208859238 \h </w:instrText>
            </w:r>
            <w:r w:rsidRPr="00A70702">
              <w:rPr>
                <w:b/>
                <w:bCs/>
                <w:noProof/>
                <w:webHidden/>
              </w:rPr>
            </w:r>
            <w:r w:rsidRPr="00A70702">
              <w:rPr>
                <w:b/>
                <w:bCs/>
                <w:noProof/>
                <w:webHidden/>
              </w:rPr>
              <w:fldChar w:fldCharType="separate"/>
            </w:r>
            <w:r w:rsidR="00374704">
              <w:rPr>
                <w:b/>
                <w:bCs/>
                <w:noProof/>
                <w:webHidden/>
              </w:rPr>
              <w:t>26</w:t>
            </w:r>
            <w:r w:rsidRPr="00A70702">
              <w:rPr>
                <w:b/>
                <w:bCs/>
                <w:noProof/>
                <w:webHidden/>
              </w:rPr>
              <w:fldChar w:fldCharType="end"/>
            </w:r>
          </w:hyperlink>
        </w:p>
        <w:p w14:paraId="7CE72849" w14:textId="7DD7537D" w:rsidR="00A70702" w:rsidRPr="00A70702" w:rsidRDefault="00A70702" w:rsidP="00A70702">
          <w:pPr>
            <w:pStyle w:val="TOC3"/>
            <w:tabs>
              <w:tab w:val="right" w:leader="dot" w:pos="9350"/>
            </w:tabs>
            <w:jc w:val="lowKashida"/>
            <w:rPr>
              <w:rFonts w:eastAsiaTheme="minorEastAsia"/>
              <w:b/>
              <w:bCs/>
              <w:noProof/>
            </w:rPr>
          </w:pPr>
          <w:hyperlink w:anchor="_Toc208859239" w:history="1">
            <w:r w:rsidRPr="00A70702">
              <w:rPr>
                <w:rStyle w:val="Hyperlink"/>
                <w:b/>
                <w:bCs/>
                <w:noProof/>
              </w:rPr>
              <w:t>(c) Violation of the Right Not to Be Subjected to Torture or Other Cruel, Inhuman, or Degrading Treatment</w:t>
            </w:r>
            <w:r w:rsidRPr="00A70702">
              <w:rPr>
                <w:b/>
                <w:bCs/>
                <w:noProof/>
                <w:webHidden/>
              </w:rPr>
              <w:tab/>
            </w:r>
            <w:r w:rsidRPr="00A70702">
              <w:rPr>
                <w:b/>
                <w:bCs/>
                <w:noProof/>
                <w:webHidden/>
              </w:rPr>
              <w:fldChar w:fldCharType="begin"/>
            </w:r>
            <w:r w:rsidRPr="00A70702">
              <w:rPr>
                <w:b/>
                <w:bCs/>
                <w:noProof/>
                <w:webHidden/>
              </w:rPr>
              <w:instrText xml:space="preserve"> PAGEREF _Toc208859239 \h </w:instrText>
            </w:r>
            <w:r w:rsidRPr="00A70702">
              <w:rPr>
                <w:b/>
                <w:bCs/>
                <w:noProof/>
                <w:webHidden/>
              </w:rPr>
            </w:r>
            <w:r w:rsidRPr="00A70702">
              <w:rPr>
                <w:b/>
                <w:bCs/>
                <w:noProof/>
                <w:webHidden/>
              </w:rPr>
              <w:fldChar w:fldCharType="separate"/>
            </w:r>
            <w:r w:rsidR="00374704">
              <w:rPr>
                <w:b/>
                <w:bCs/>
                <w:noProof/>
                <w:webHidden/>
              </w:rPr>
              <w:t>28</w:t>
            </w:r>
            <w:r w:rsidRPr="00A70702">
              <w:rPr>
                <w:b/>
                <w:bCs/>
                <w:noProof/>
                <w:webHidden/>
              </w:rPr>
              <w:fldChar w:fldCharType="end"/>
            </w:r>
          </w:hyperlink>
        </w:p>
        <w:p w14:paraId="4B0180BE" w14:textId="5D99803B" w:rsidR="00A70702" w:rsidRPr="00A70702" w:rsidRDefault="00A70702" w:rsidP="00A70702">
          <w:pPr>
            <w:pStyle w:val="TOC3"/>
            <w:tabs>
              <w:tab w:val="right" w:leader="dot" w:pos="9350"/>
            </w:tabs>
            <w:jc w:val="lowKashida"/>
            <w:rPr>
              <w:rFonts w:eastAsiaTheme="minorEastAsia"/>
              <w:b/>
              <w:bCs/>
              <w:noProof/>
            </w:rPr>
          </w:pPr>
          <w:hyperlink w:anchor="_Toc208859240" w:history="1">
            <w:r w:rsidRPr="00A70702">
              <w:rPr>
                <w:rStyle w:val="Hyperlink"/>
                <w:b/>
                <w:bCs/>
                <w:noProof/>
              </w:rPr>
              <w:t>(d) Breach by the Public Prosecution of the Right to Defense and Denial of Confidential Communication with Lawyers</w:t>
            </w:r>
            <w:r w:rsidRPr="00A70702">
              <w:rPr>
                <w:b/>
                <w:bCs/>
                <w:noProof/>
                <w:webHidden/>
              </w:rPr>
              <w:tab/>
            </w:r>
            <w:r w:rsidRPr="00A70702">
              <w:rPr>
                <w:b/>
                <w:bCs/>
                <w:noProof/>
                <w:webHidden/>
              </w:rPr>
              <w:fldChar w:fldCharType="begin"/>
            </w:r>
            <w:r w:rsidRPr="00A70702">
              <w:rPr>
                <w:b/>
                <w:bCs/>
                <w:noProof/>
                <w:webHidden/>
              </w:rPr>
              <w:instrText xml:space="preserve"> PAGEREF _Toc208859240 \h </w:instrText>
            </w:r>
            <w:r w:rsidRPr="00A70702">
              <w:rPr>
                <w:b/>
                <w:bCs/>
                <w:noProof/>
                <w:webHidden/>
              </w:rPr>
            </w:r>
            <w:r w:rsidRPr="00A70702">
              <w:rPr>
                <w:b/>
                <w:bCs/>
                <w:noProof/>
                <w:webHidden/>
              </w:rPr>
              <w:fldChar w:fldCharType="separate"/>
            </w:r>
            <w:r w:rsidR="00374704">
              <w:rPr>
                <w:b/>
                <w:bCs/>
                <w:noProof/>
                <w:webHidden/>
              </w:rPr>
              <w:t>31</w:t>
            </w:r>
            <w:r w:rsidRPr="00A70702">
              <w:rPr>
                <w:b/>
                <w:bCs/>
                <w:noProof/>
                <w:webHidden/>
              </w:rPr>
              <w:fldChar w:fldCharType="end"/>
            </w:r>
          </w:hyperlink>
        </w:p>
        <w:p w14:paraId="13B4CC1F" w14:textId="7D3B2577" w:rsidR="00A70702" w:rsidRPr="00A70702" w:rsidRDefault="00A70702" w:rsidP="00A70702">
          <w:pPr>
            <w:pStyle w:val="TOC3"/>
            <w:tabs>
              <w:tab w:val="right" w:leader="dot" w:pos="9350"/>
            </w:tabs>
            <w:jc w:val="lowKashida"/>
            <w:rPr>
              <w:rFonts w:eastAsiaTheme="minorEastAsia"/>
              <w:b/>
              <w:bCs/>
              <w:noProof/>
            </w:rPr>
          </w:pPr>
          <w:hyperlink w:anchor="_Toc208859241" w:history="1">
            <w:r w:rsidRPr="00A70702">
              <w:rPr>
                <w:rStyle w:val="Hyperlink"/>
                <w:b/>
                <w:bCs/>
                <w:noProof/>
              </w:rPr>
              <w:t>(e) Placement on Terrorist Lists and Violation of the Principle of Presumption of Innocence</w:t>
            </w:r>
            <w:r w:rsidRPr="00A70702">
              <w:rPr>
                <w:b/>
                <w:bCs/>
                <w:noProof/>
                <w:webHidden/>
              </w:rPr>
              <w:tab/>
            </w:r>
            <w:r w:rsidRPr="00A70702">
              <w:rPr>
                <w:b/>
                <w:bCs/>
                <w:noProof/>
                <w:webHidden/>
              </w:rPr>
              <w:fldChar w:fldCharType="begin"/>
            </w:r>
            <w:r w:rsidRPr="00A70702">
              <w:rPr>
                <w:b/>
                <w:bCs/>
                <w:noProof/>
                <w:webHidden/>
              </w:rPr>
              <w:instrText xml:space="preserve"> PAGEREF _Toc208859241 \h </w:instrText>
            </w:r>
            <w:r w:rsidRPr="00A70702">
              <w:rPr>
                <w:b/>
                <w:bCs/>
                <w:noProof/>
                <w:webHidden/>
              </w:rPr>
            </w:r>
            <w:r w:rsidRPr="00A70702">
              <w:rPr>
                <w:b/>
                <w:bCs/>
                <w:noProof/>
                <w:webHidden/>
              </w:rPr>
              <w:fldChar w:fldCharType="separate"/>
            </w:r>
            <w:r w:rsidR="00374704">
              <w:rPr>
                <w:b/>
                <w:bCs/>
                <w:noProof/>
                <w:webHidden/>
              </w:rPr>
              <w:t>34</w:t>
            </w:r>
            <w:r w:rsidRPr="00A70702">
              <w:rPr>
                <w:b/>
                <w:bCs/>
                <w:noProof/>
                <w:webHidden/>
              </w:rPr>
              <w:fldChar w:fldCharType="end"/>
            </w:r>
          </w:hyperlink>
        </w:p>
        <w:p w14:paraId="1A078599" w14:textId="22C6B574" w:rsidR="00A70702" w:rsidRPr="00A70702" w:rsidRDefault="00A70702" w:rsidP="00A70702">
          <w:pPr>
            <w:pStyle w:val="TOC3"/>
            <w:tabs>
              <w:tab w:val="right" w:leader="dot" w:pos="9350"/>
            </w:tabs>
            <w:jc w:val="lowKashida"/>
            <w:rPr>
              <w:rFonts w:eastAsiaTheme="minorEastAsia"/>
              <w:b/>
              <w:bCs/>
              <w:noProof/>
            </w:rPr>
          </w:pPr>
          <w:hyperlink w:anchor="_Toc208859242" w:history="1">
            <w:r w:rsidRPr="00A70702">
              <w:rPr>
                <w:rStyle w:val="Hyperlink"/>
                <w:b/>
                <w:bCs/>
                <w:noProof/>
              </w:rPr>
              <w:t>(f) Violation of the Right to Medical Care During the Investigation Phase</w:t>
            </w:r>
            <w:r w:rsidRPr="00A70702">
              <w:rPr>
                <w:b/>
                <w:bCs/>
                <w:noProof/>
                <w:webHidden/>
              </w:rPr>
              <w:tab/>
            </w:r>
            <w:r w:rsidRPr="00A70702">
              <w:rPr>
                <w:b/>
                <w:bCs/>
                <w:noProof/>
                <w:webHidden/>
              </w:rPr>
              <w:fldChar w:fldCharType="begin"/>
            </w:r>
            <w:r w:rsidRPr="00A70702">
              <w:rPr>
                <w:b/>
                <w:bCs/>
                <w:noProof/>
                <w:webHidden/>
              </w:rPr>
              <w:instrText xml:space="preserve"> PAGEREF _Toc208859242 \h </w:instrText>
            </w:r>
            <w:r w:rsidRPr="00A70702">
              <w:rPr>
                <w:b/>
                <w:bCs/>
                <w:noProof/>
                <w:webHidden/>
              </w:rPr>
            </w:r>
            <w:r w:rsidRPr="00A70702">
              <w:rPr>
                <w:b/>
                <w:bCs/>
                <w:noProof/>
                <w:webHidden/>
              </w:rPr>
              <w:fldChar w:fldCharType="separate"/>
            </w:r>
            <w:r w:rsidR="00374704">
              <w:rPr>
                <w:b/>
                <w:bCs/>
                <w:noProof/>
                <w:webHidden/>
              </w:rPr>
              <w:t>36</w:t>
            </w:r>
            <w:r w:rsidRPr="00A70702">
              <w:rPr>
                <w:b/>
                <w:bCs/>
                <w:noProof/>
                <w:webHidden/>
              </w:rPr>
              <w:fldChar w:fldCharType="end"/>
            </w:r>
          </w:hyperlink>
        </w:p>
        <w:p w14:paraId="2D9D0B3C" w14:textId="7C19B76F" w:rsidR="00A70702" w:rsidRPr="00A70702" w:rsidRDefault="00A70702" w:rsidP="00A70702">
          <w:pPr>
            <w:pStyle w:val="TOC3"/>
            <w:tabs>
              <w:tab w:val="right" w:leader="dot" w:pos="9350"/>
            </w:tabs>
            <w:jc w:val="lowKashida"/>
            <w:rPr>
              <w:rFonts w:eastAsiaTheme="minorEastAsia"/>
              <w:b/>
              <w:bCs/>
              <w:noProof/>
            </w:rPr>
          </w:pPr>
          <w:hyperlink w:anchor="_Toc208859243" w:history="1">
            <w:r w:rsidRPr="00A70702">
              <w:rPr>
                <w:rStyle w:val="Hyperlink"/>
                <w:b/>
                <w:bCs/>
                <w:noProof/>
              </w:rPr>
              <w:t>(g) Violation of the Right to Receive Visits and Communicate with the Outside World During the Investigation Phase</w:t>
            </w:r>
            <w:r w:rsidRPr="00A70702">
              <w:rPr>
                <w:b/>
                <w:bCs/>
                <w:noProof/>
                <w:webHidden/>
              </w:rPr>
              <w:tab/>
            </w:r>
            <w:r w:rsidRPr="00A70702">
              <w:rPr>
                <w:b/>
                <w:bCs/>
                <w:noProof/>
                <w:webHidden/>
              </w:rPr>
              <w:fldChar w:fldCharType="begin"/>
            </w:r>
            <w:r w:rsidRPr="00A70702">
              <w:rPr>
                <w:b/>
                <w:bCs/>
                <w:noProof/>
                <w:webHidden/>
              </w:rPr>
              <w:instrText xml:space="preserve"> PAGEREF _Toc208859243 \h </w:instrText>
            </w:r>
            <w:r w:rsidRPr="00A70702">
              <w:rPr>
                <w:b/>
                <w:bCs/>
                <w:noProof/>
                <w:webHidden/>
              </w:rPr>
            </w:r>
            <w:r w:rsidRPr="00A70702">
              <w:rPr>
                <w:b/>
                <w:bCs/>
                <w:noProof/>
                <w:webHidden/>
              </w:rPr>
              <w:fldChar w:fldCharType="separate"/>
            </w:r>
            <w:r w:rsidR="00374704">
              <w:rPr>
                <w:b/>
                <w:bCs/>
                <w:noProof/>
                <w:webHidden/>
              </w:rPr>
              <w:t>38</w:t>
            </w:r>
            <w:r w:rsidRPr="00A70702">
              <w:rPr>
                <w:b/>
                <w:bCs/>
                <w:noProof/>
                <w:webHidden/>
              </w:rPr>
              <w:fldChar w:fldCharType="end"/>
            </w:r>
          </w:hyperlink>
        </w:p>
        <w:p w14:paraId="7CC4CFAA" w14:textId="4EAD07B1" w:rsidR="00A70702" w:rsidRPr="00A70702" w:rsidRDefault="00A70702" w:rsidP="00A70702">
          <w:pPr>
            <w:pStyle w:val="TOC1"/>
            <w:tabs>
              <w:tab w:val="right" w:leader="dot" w:pos="9350"/>
            </w:tabs>
            <w:jc w:val="lowKashida"/>
            <w:rPr>
              <w:rFonts w:eastAsiaTheme="minorEastAsia"/>
              <w:b/>
              <w:bCs/>
              <w:noProof/>
            </w:rPr>
          </w:pPr>
          <w:hyperlink w:anchor="_Toc208859244" w:history="1">
            <w:r w:rsidRPr="00A70702">
              <w:rPr>
                <w:rStyle w:val="Hyperlink"/>
                <w:rFonts w:eastAsia="Times New Roman"/>
                <w:b/>
                <w:bCs/>
                <w:noProof/>
              </w:rPr>
              <w:t>Conclusion</w:t>
            </w:r>
            <w:r w:rsidRPr="00A70702">
              <w:rPr>
                <w:b/>
                <w:bCs/>
                <w:noProof/>
                <w:webHidden/>
              </w:rPr>
              <w:tab/>
            </w:r>
            <w:r w:rsidRPr="00A70702">
              <w:rPr>
                <w:b/>
                <w:bCs/>
                <w:noProof/>
                <w:webHidden/>
              </w:rPr>
              <w:fldChar w:fldCharType="begin"/>
            </w:r>
            <w:r w:rsidRPr="00A70702">
              <w:rPr>
                <w:b/>
                <w:bCs/>
                <w:noProof/>
                <w:webHidden/>
              </w:rPr>
              <w:instrText xml:space="preserve"> PAGEREF _Toc208859244 \h </w:instrText>
            </w:r>
            <w:r w:rsidRPr="00A70702">
              <w:rPr>
                <w:b/>
                <w:bCs/>
                <w:noProof/>
                <w:webHidden/>
              </w:rPr>
            </w:r>
            <w:r w:rsidRPr="00A70702">
              <w:rPr>
                <w:b/>
                <w:bCs/>
                <w:noProof/>
                <w:webHidden/>
              </w:rPr>
              <w:fldChar w:fldCharType="separate"/>
            </w:r>
            <w:r w:rsidR="00374704">
              <w:rPr>
                <w:b/>
                <w:bCs/>
                <w:noProof/>
                <w:webHidden/>
              </w:rPr>
              <w:t>39</w:t>
            </w:r>
            <w:r w:rsidRPr="00A70702">
              <w:rPr>
                <w:b/>
                <w:bCs/>
                <w:noProof/>
                <w:webHidden/>
              </w:rPr>
              <w:fldChar w:fldCharType="end"/>
            </w:r>
          </w:hyperlink>
        </w:p>
        <w:p w14:paraId="7DF377C7" w14:textId="66B6E402" w:rsidR="004F27B2" w:rsidRPr="004F27B2" w:rsidRDefault="00A70702" w:rsidP="00A70702">
          <w:pPr>
            <w:jc w:val="lowKashida"/>
            <w:rPr>
              <w:rStyle w:val="Strong"/>
              <w:b w:val="0"/>
              <w:bCs w:val="0"/>
              <w:rtl/>
            </w:rPr>
          </w:pPr>
          <w:r w:rsidRPr="00A70702">
            <w:rPr>
              <w:rFonts w:cstheme="minorHAnsi"/>
              <w:b/>
              <w:bCs/>
              <w:noProof/>
            </w:rPr>
            <w:fldChar w:fldCharType="end"/>
          </w:r>
        </w:p>
      </w:sdtContent>
    </w:sdt>
    <w:p w14:paraId="28C42CE3" w14:textId="77777777" w:rsidR="00C31CA4" w:rsidRPr="004F27B2" w:rsidRDefault="00C31CA4" w:rsidP="004F27B2">
      <w:pPr>
        <w:pStyle w:val="Heading1"/>
        <w:bidi w:val="0"/>
      </w:pPr>
      <w:bookmarkStart w:id="0" w:name="_Toc208859229"/>
      <w:r w:rsidRPr="004F27B2">
        <w:rPr>
          <w:rStyle w:val="Strong"/>
          <w:b/>
          <w:bCs/>
        </w:rPr>
        <w:lastRenderedPageBreak/>
        <w:t>Executive Summary:</w:t>
      </w:r>
      <w:bookmarkEnd w:id="0"/>
    </w:p>
    <w:p w14:paraId="08FABC1D"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Law No. 8 of 2015 on the regulation of terrorist entities and terrorist individuals created a legal framework that included numerous vague and broad provisions defining the “terrorist” and describing terrorist entities. This framework encompassed any organizational form aimed at inciting harm to individuals, spreading terror, or endangering their lives or rights through terrorist crimes. Subsequently, Law No. 94 of 2015 on combating terrorism granted security agencies a wide range of powers and authorities, ostensibly to protect national security and public order in the event of terrorist crimes. Under this law, law enforcement forces enjoy full legal immunity from criminal accountability when using force or violence in enforcing its provisions.</w:t>
      </w:r>
    </w:p>
    <w:p w14:paraId="160F4821"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In addition, judicial police officers were granted many powers that, in the past, could only be activated under a state of emergency or martial law, such as the power to collect evidence and search for suspects outside of flagrante delicto, and to detain suspects for long periods before bringing them before official investigative authorities, without the need for a judicial warrant.</w:t>
      </w:r>
    </w:p>
    <w:p w14:paraId="634ED82D"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This legal framework has been widely used as a pretext for arresting many defendants over the past years, including those listed in connection with the case under review.</w:t>
      </w:r>
    </w:p>
    <w:p w14:paraId="62C82D68"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Accordingly, the Trial Monitoring Team of the Egyptian Commission for Rights and Freedoms, during the period between January 14, 2022 and the referral date to trial, monitored and documented the arrests of the defendants listed in the referral order, their enforced disappearances, and their interrogations before the Supreme State Security Prosecution, until a decision was issued on August 30, 2022 to refer their case to the Supreme State Security Criminal Court – Third (Terrorism) Circuit, to undertake the trial proceedings.</w:t>
      </w:r>
    </w:p>
    <w:p w14:paraId="3482E0AC"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The referral order included a total of (57) defendants, most of whom were elderly individuals who had long been engaged in political work as members of the Muslim Brotherhood, holding administrative positions within the group’s structure or in its affiliated Freedom and Justice Party. The Supreme State Security Prosecution </w:t>
      </w:r>
      <w:r w:rsidRPr="00C31CA4">
        <w:rPr>
          <w:rFonts w:asciiTheme="minorHAnsi" w:hAnsiTheme="minorHAnsi" w:cstheme="minorHAnsi"/>
          <w:sz w:val="28"/>
          <w:szCs w:val="28"/>
        </w:rPr>
        <w:lastRenderedPageBreak/>
        <w:t>charged them with assuming leadership of a terrorist group, joining it, financing it, and possessing publications and recordings promoting the group’s objectives.</w:t>
      </w:r>
    </w:p>
    <w:p w14:paraId="1BF203EC"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The scope of this report is confined to monitoring pre-trial proceedings in Case No. 1360 of 2019 (Supreme State Security Prosecution), which unfolded in several phases between 2019 and 2022. This interim report focuses on documenting, analyzing, and monitoring the arrest of Dr. Ahmed Shawky Abdel Sattar Amasha and the pre-trial procedures against him in connection with the case, from the moment of his unlawful arrest and detention, through his appearance before the Supreme State Security Prosecution, assessing whether, as a defendant, he enjoyed all rights guaranteed under international human rights law and their equivalents in Egyptian law—such as the right to defense and the right to humane treatment that preserves dignity. The report also monitors the Prosecution’s handling of his testimony during investigations, as well as the violations he endured during his unlawful detention and enforced disappearance in security facilities and later in Egyptian prisons.</w:t>
      </w:r>
    </w:p>
    <w:p w14:paraId="2E8D3B9E"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The report addresses the absence of accountability for law enforcement forces regarding the violations committed against Dr. Amasha, Defendant No. (34) and against the other defendants more </w:t>
      </w:r>
      <w:proofErr w:type="gramStart"/>
      <w:r w:rsidRPr="00C31CA4">
        <w:rPr>
          <w:rFonts w:asciiTheme="minorHAnsi" w:hAnsiTheme="minorHAnsi" w:cstheme="minorHAnsi"/>
          <w:sz w:val="28"/>
          <w:szCs w:val="28"/>
        </w:rPr>
        <w:t>generally, and</w:t>
      </w:r>
      <w:proofErr w:type="gramEnd"/>
      <w:r w:rsidRPr="00C31CA4">
        <w:rPr>
          <w:rFonts w:asciiTheme="minorHAnsi" w:hAnsiTheme="minorHAnsi" w:cstheme="minorHAnsi"/>
          <w:sz w:val="28"/>
          <w:szCs w:val="28"/>
        </w:rPr>
        <w:t xml:space="preserve"> examines the impact of these complex procedures on his right to the presumption of innocence. It also analyzes the consequences of his inclusion on terrorism lists under Law No. 8 of 2015 on the regulation of terrorist entities and individuals, without compelling evidence justifying such coercive measures against him.</w:t>
      </w:r>
    </w:p>
    <w:p w14:paraId="7B34EFCA"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Furthermore, the report highlights the complex procedural nature of this case, which was referred to trial under both the anti-terrorism and terrorist entities laws, and the role of these laws as exceptional tools used by the Egyptian authorities to target defendants and violate their legal and constitutional rights. It also documents the role of the Public Prosecution, as a judicial authority expected to act independently, in the stages of arrest, investigation, and referral to trial, and whether these procedures complied with Egypt’s international treaty obligations and domestic laws guaranteeing fair trial safeguards.</w:t>
      </w:r>
    </w:p>
    <w:p w14:paraId="38E01EF4"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The report evaluates the entirety of the pre-trial proceedings, which lasted for more than three years, during which Defendant No. (34) remained in prolonged pre-trial detention in connection with Case No. 1360 of 2019 (Supreme State </w:t>
      </w:r>
      <w:r w:rsidRPr="00C31CA4">
        <w:rPr>
          <w:rFonts w:asciiTheme="minorHAnsi" w:hAnsiTheme="minorHAnsi" w:cstheme="minorHAnsi"/>
          <w:sz w:val="28"/>
          <w:szCs w:val="28"/>
        </w:rPr>
        <w:lastRenderedPageBreak/>
        <w:t>Security Prosecution). Like most of the other defendants, he endured a series of abuses and violations threatening his right to life, increasingly perpetrated in a systematic manner against terrorism suspects, irrespective of their identity, social standing, or academic position.</w:t>
      </w:r>
    </w:p>
    <w:p w14:paraId="0910592D"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In practice, pre-trial procedures in this case were marked by the complete absence of all legal and constitutional guarantees of fair trial enshrined in the Egyptian Constitution and recognized in international human rights conventions. The most prominent arbitrary measures and violations suffered by Dr. Amasha and most of the defendants during this extended period included: enforced disappearance, arbitrary detention for long periods without legal basis in facilities affiliated with the Ministry of Interior for interrogation before being presented to investigative authorities, forced confessions extracted under physical and psychological torture, and threats of permanent detention.</w:t>
      </w:r>
    </w:p>
    <w:p w14:paraId="5339C15A"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These practices violate a set of rights connected to the right to life, protection from enforced disappearance, human dignity, the right to recognition as a person before the law, and protection against arbitrary detention. They also contravene the right not to be subjected to torture, under the Convention against Torture and Other Cruel, Inhuman or Degrading Treatment or Punishment, ratified by Egypt. Enforced disappearance, in particular, places victims at heightened risk of torture, as they are held outside the protection of the law and their names are not recorded in official registers.</w:t>
      </w:r>
    </w:p>
    <w:p w14:paraId="69BB87C3"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The report also discusses the problem of prolonged pre-trial detention under Egyptian law, where most defendants, including Dr. Amasha, were held for long periods solely on suspicion of possible involvement in terrorist crimes, without conclusive evidence against them, and with no violent acts attributed to Defendant No. (34) or any of the defendants referred to trial under the referral order.</w:t>
      </w:r>
    </w:p>
    <w:p w14:paraId="5A543D86"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It further addresses the major violations suffered by Defendant No. (34) during the investigation phase by the Public Prosecution, notably his denial of the right to </w:t>
      </w:r>
      <w:proofErr w:type="gramStart"/>
      <w:r w:rsidRPr="00C31CA4">
        <w:rPr>
          <w:rFonts w:asciiTheme="minorHAnsi" w:hAnsiTheme="minorHAnsi" w:cstheme="minorHAnsi"/>
          <w:sz w:val="28"/>
          <w:szCs w:val="28"/>
        </w:rPr>
        <w:t>defense</w:t>
      </w:r>
      <w:proofErr w:type="gramEnd"/>
      <w:r w:rsidRPr="00C31CA4">
        <w:rPr>
          <w:rFonts w:asciiTheme="minorHAnsi" w:hAnsiTheme="minorHAnsi" w:cstheme="minorHAnsi"/>
          <w:sz w:val="28"/>
          <w:szCs w:val="28"/>
        </w:rPr>
        <w:t xml:space="preserve"> and to have a lawyer present during initial interrogations, as well as the denial of private access to his legal counsel throughout his pre-trial detention. This constituted a violation of the right to legal assistance and undermined the right to a fair trial.</w:t>
      </w:r>
    </w:p>
    <w:p w14:paraId="6CC916EB"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lastRenderedPageBreak/>
        <w:t>The report also notes the Public Prosecution’s failure to perform its duties as an independent and impartial judicial authority. It disregarded all defense requests for an investigation into Dr. Amasha’s allegations of torture in police facilities and failed to initiate an independent inquiry into these torture claims or take legal measures to hold perpetrators accountable.</w:t>
      </w:r>
    </w:p>
    <w:p w14:paraId="79811C05"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Additionally, the Public Prosecution violated the requirement under Egyptian criminal procedure law mandating the presence of a lawyer in felony investigations, particularly during the initial interrogation sessions with Dr. Amasha. Prosecutors delved into personal matters unrelated to the crimes under investigation and refused to release him despite the lack of sufficient objective evidence justifying his detention.</w:t>
      </w:r>
    </w:p>
    <w:p w14:paraId="691CE652"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The report further documents other violations suffered by Defendant No. (34) during pre-trial detention, including the denial of access to a doctor to record injuries allegedly caused by torture, denial of appropriate medical care for his health condition, denial of visitation rights and contact with the outside world—leading him to file an administrative lawsuit seeking visitation rights.</w:t>
      </w:r>
    </w:p>
    <w:p w14:paraId="14BCD765" w14:textId="77777777" w:rsidR="00C31CA4" w:rsidRPr="004F27B2" w:rsidRDefault="00C31CA4" w:rsidP="004F27B2">
      <w:pPr>
        <w:pStyle w:val="Heading1"/>
        <w:bidi w:val="0"/>
        <w:rPr>
          <w:rtl/>
        </w:rPr>
      </w:pPr>
      <w:bookmarkStart w:id="1" w:name="_Toc208859230"/>
      <w:r w:rsidRPr="004F27B2">
        <w:rPr>
          <w:rStyle w:val="Strong"/>
          <w:b/>
          <w:bCs/>
        </w:rPr>
        <w:t>Report Methodology:</w:t>
      </w:r>
      <w:bookmarkEnd w:id="1"/>
    </w:p>
    <w:p w14:paraId="2B9FFDFB"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This report was prepared based on independent monitoring of the sessions for renewing the pre-trial detention of Dr. Amasha at Badr Correctional and Rehabilitation Center. It should be noted that the monitor was unable to attend all detention renewal sessions, as they were held in a facility affiliated with the Ministry of Interior and conducted in chambers, which imposes significant restrictions on the ability of lawyers or monitors to access the venues where the sessions take place.</w:t>
      </w:r>
    </w:p>
    <w:p w14:paraId="33DF5A2E"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The monitoring team also relied on conducting several interviews with members of Dr. Amasha’s defense team, as well as other lawyers involved in the case. The team primarily based its work on an incomplete photocopy of the case file, in addition to several published materials, including human rights and press reports about the case or similar cases. Furthermore, an interview was conducted with Dr. Amasha’s son to obtain specific information regarding his health condition and the extent to which he has been allowed to receive visits on a regular basis.</w:t>
      </w:r>
    </w:p>
    <w:p w14:paraId="1A9361F1"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lastRenderedPageBreak/>
        <w:t xml:space="preserve">It should also be noted that the case under review, which this report addresses, focuses </w:t>
      </w:r>
      <w:proofErr w:type="gramStart"/>
      <w:r w:rsidRPr="00C31CA4">
        <w:rPr>
          <w:rFonts w:asciiTheme="minorHAnsi" w:hAnsiTheme="minorHAnsi" w:cstheme="minorHAnsi"/>
          <w:sz w:val="28"/>
          <w:szCs w:val="28"/>
        </w:rPr>
        <w:t>in particular about</w:t>
      </w:r>
      <w:proofErr w:type="gramEnd"/>
      <w:r w:rsidRPr="00C31CA4">
        <w:rPr>
          <w:rFonts w:asciiTheme="minorHAnsi" w:hAnsiTheme="minorHAnsi" w:cstheme="minorHAnsi"/>
          <w:sz w:val="28"/>
          <w:szCs w:val="28"/>
        </w:rPr>
        <w:t xml:space="preserve"> Dr. Amasha, Defendant No. (34) under the referral order, and the violations he was subjected to from the moment of his arrest until his referral to trial.</w:t>
      </w:r>
    </w:p>
    <w:p w14:paraId="23211C1D"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Finally, the monitoring report provides a legal analysis of certain provisions of Egyptian laws related to terrorism crimes and examines the extent of their compliance with international standards set forth in the International Covenant on Civil and Political Rights, as well as guarantees of fair trial.</w:t>
      </w:r>
    </w:p>
    <w:p w14:paraId="48405BE7" w14:textId="77777777" w:rsidR="00C31CA4" w:rsidRPr="004F27B2" w:rsidRDefault="00C31CA4" w:rsidP="004F27B2">
      <w:pPr>
        <w:pStyle w:val="Heading1"/>
        <w:bidi w:val="0"/>
      </w:pPr>
      <w:bookmarkStart w:id="2" w:name="_Toc208859231"/>
      <w:r w:rsidRPr="004F27B2">
        <w:rPr>
          <w:rStyle w:val="Strong"/>
          <w:b/>
          <w:bCs/>
        </w:rPr>
        <w:t>Case Facts</w:t>
      </w:r>
      <w:bookmarkEnd w:id="2"/>
    </w:p>
    <w:p w14:paraId="68127ED0"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This case involves the arrest and investigation of a total of </w:t>
      </w:r>
      <w:r w:rsidRPr="00C31CA4">
        <w:rPr>
          <w:rStyle w:val="Strong"/>
          <w:rFonts w:asciiTheme="minorHAnsi" w:eastAsiaTheme="majorEastAsia" w:hAnsiTheme="minorHAnsi" w:cstheme="minorHAnsi"/>
          <w:sz w:val="28"/>
          <w:szCs w:val="28"/>
        </w:rPr>
        <w:t>103 defendants</w:t>
      </w:r>
      <w:r w:rsidRPr="00C31CA4">
        <w:rPr>
          <w:rFonts w:asciiTheme="minorHAnsi" w:hAnsiTheme="minorHAnsi" w:cstheme="minorHAnsi"/>
          <w:sz w:val="28"/>
          <w:szCs w:val="28"/>
        </w:rPr>
        <w:t xml:space="preserve">, with the Supreme State Security Prosecution preparing files and referring </w:t>
      </w:r>
      <w:r w:rsidRPr="00C31CA4">
        <w:rPr>
          <w:rStyle w:val="Strong"/>
          <w:rFonts w:asciiTheme="minorHAnsi" w:eastAsiaTheme="majorEastAsia" w:hAnsiTheme="minorHAnsi" w:cstheme="minorHAnsi"/>
          <w:sz w:val="28"/>
          <w:szCs w:val="28"/>
        </w:rPr>
        <w:t>57</w:t>
      </w:r>
      <w:r w:rsidRPr="00C31CA4">
        <w:rPr>
          <w:rFonts w:asciiTheme="minorHAnsi" w:hAnsiTheme="minorHAnsi" w:cstheme="minorHAnsi"/>
          <w:sz w:val="28"/>
          <w:szCs w:val="28"/>
        </w:rPr>
        <w:t xml:space="preserve"> of them in connection with the case under monitoring. Among these, </w:t>
      </w:r>
      <w:r w:rsidRPr="00C31CA4">
        <w:rPr>
          <w:rStyle w:val="Strong"/>
          <w:rFonts w:asciiTheme="minorHAnsi" w:eastAsiaTheme="majorEastAsia" w:hAnsiTheme="minorHAnsi" w:cstheme="minorHAnsi"/>
          <w:sz w:val="28"/>
          <w:szCs w:val="28"/>
        </w:rPr>
        <w:t>51 defendants</w:t>
      </w:r>
      <w:r w:rsidRPr="00C31CA4">
        <w:rPr>
          <w:rFonts w:asciiTheme="minorHAnsi" w:hAnsiTheme="minorHAnsi" w:cstheme="minorHAnsi"/>
          <w:sz w:val="28"/>
          <w:szCs w:val="28"/>
        </w:rPr>
        <w:t xml:space="preserve"> remain in pre-trial detention pending this case or other cases before the Supreme State Security Prosecution, </w:t>
      </w:r>
      <w:r w:rsidRPr="00C31CA4">
        <w:rPr>
          <w:rStyle w:val="Strong"/>
          <w:rFonts w:asciiTheme="minorHAnsi" w:eastAsiaTheme="majorEastAsia" w:hAnsiTheme="minorHAnsi" w:cstheme="minorHAnsi"/>
          <w:sz w:val="28"/>
          <w:szCs w:val="28"/>
        </w:rPr>
        <w:t>4 defendants</w:t>
      </w:r>
      <w:r w:rsidRPr="00C31CA4">
        <w:rPr>
          <w:rFonts w:asciiTheme="minorHAnsi" w:hAnsiTheme="minorHAnsi" w:cstheme="minorHAnsi"/>
          <w:sz w:val="28"/>
          <w:szCs w:val="28"/>
        </w:rPr>
        <w:t xml:space="preserve"> are fugitives, and the legal status of </w:t>
      </w:r>
      <w:r w:rsidRPr="00C31CA4">
        <w:rPr>
          <w:rStyle w:val="Strong"/>
          <w:rFonts w:asciiTheme="minorHAnsi" w:eastAsiaTheme="majorEastAsia" w:hAnsiTheme="minorHAnsi" w:cstheme="minorHAnsi"/>
          <w:sz w:val="28"/>
          <w:szCs w:val="28"/>
        </w:rPr>
        <w:t>2 others</w:t>
      </w:r>
      <w:r w:rsidRPr="00C31CA4">
        <w:rPr>
          <w:rFonts w:asciiTheme="minorHAnsi" w:hAnsiTheme="minorHAnsi" w:cstheme="minorHAnsi"/>
          <w:sz w:val="28"/>
          <w:szCs w:val="28"/>
        </w:rPr>
        <w:t xml:space="preserve"> remains unknown.</w:t>
      </w:r>
    </w:p>
    <w:p w14:paraId="2897DFDC"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The case began with security forces arresting the defendants based on security investigation reports from different governorates across Egypt, at various times and years. The facts of the case revolve around four main charges, which the Supreme State Security Prosecution directed against the defendants, alleging that during the period between 2015 and 30 October 2020, inside and outside Egypt, they carried out the following:</w:t>
      </w:r>
    </w:p>
    <w:p w14:paraId="6573BCC8" w14:textId="77777777" w:rsidR="00C31CA4" w:rsidRPr="00C31CA4" w:rsidRDefault="00C31CA4" w:rsidP="00C31CA4">
      <w:pPr>
        <w:pStyle w:val="NormalWeb"/>
        <w:numPr>
          <w:ilvl w:val="0"/>
          <w:numId w:val="1"/>
        </w:numPr>
        <w:jc w:val="lowKashida"/>
        <w:rPr>
          <w:rFonts w:asciiTheme="minorHAnsi" w:hAnsiTheme="minorHAnsi" w:cstheme="minorHAnsi"/>
          <w:sz w:val="28"/>
          <w:szCs w:val="28"/>
        </w:rPr>
      </w:pPr>
      <w:r w:rsidRPr="00C31CA4">
        <w:rPr>
          <w:rStyle w:val="Strong"/>
          <w:rFonts w:asciiTheme="minorHAnsi" w:eastAsiaTheme="majorEastAsia" w:hAnsiTheme="minorHAnsi" w:cstheme="minorHAnsi"/>
          <w:sz w:val="28"/>
          <w:szCs w:val="28"/>
        </w:rPr>
        <w:t>(From Defendant 1 to Defendant 31):</w:t>
      </w:r>
      <w:r w:rsidRPr="00C31CA4">
        <w:rPr>
          <w:rFonts w:asciiTheme="minorHAnsi" w:hAnsiTheme="minorHAnsi" w:cstheme="minorHAnsi"/>
          <w:sz w:val="28"/>
          <w:szCs w:val="28"/>
        </w:rPr>
        <w:t xml:space="preserve"> Each assumed leadership of a terrorist organization aimed at suspending the provisions of the Constitution and law, preventing state institutions from performing their duties, attacking citizens’ personal freedoms, public rights and liberties, and undermining national unity and social peace.</w:t>
      </w:r>
    </w:p>
    <w:p w14:paraId="241E37E6" w14:textId="77777777" w:rsidR="00C31CA4" w:rsidRPr="00C31CA4" w:rsidRDefault="00C31CA4" w:rsidP="00C31CA4">
      <w:pPr>
        <w:pStyle w:val="NormalWeb"/>
        <w:numPr>
          <w:ilvl w:val="0"/>
          <w:numId w:val="1"/>
        </w:numPr>
        <w:jc w:val="lowKashida"/>
        <w:rPr>
          <w:rFonts w:asciiTheme="minorHAnsi" w:hAnsiTheme="minorHAnsi" w:cstheme="minorHAnsi"/>
          <w:sz w:val="28"/>
          <w:szCs w:val="28"/>
        </w:rPr>
      </w:pPr>
      <w:r w:rsidRPr="00C31CA4">
        <w:rPr>
          <w:rStyle w:val="Strong"/>
          <w:rFonts w:asciiTheme="minorHAnsi" w:eastAsiaTheme="majorEastAsia" w:hAnsiTheme="minorHAnsi" w:cstheme="minorHAnsi"/>
          <w:sz w:val="28"/>
          <w:szCs w:val="28"/>
        </w:rPr>
        <w:t>(From Defendant 32 to the last defendant):</w:t>
      </w:r>
      <w:r w:rsidRPr="00C31CA4">
        <w:rPr>
          <w:rFonts w:asciiTheme="minorHAnsi" w:hAnsiTheme="minorHAnsi" w:cstheme="minorHAnsi"/>
          <w:sz w:val="28"/>
          <w:szCs w:val="28"/>
        </w:rPr>
        <w:t xml:space="preserve"> Joined a terrorist organization, as defined in the first charge, with knowledge of its objectives and methods to achieve them.</w:t>
      </w:r>
    </w:p>
    <w:p w14:paraId="365333F8" w14:textId="77777777" w:rsidR="00C31CA4" w:rsidRPr="00C31CA4" w:rsidRDefault="00C31CA4" w:rsidP="00C31CA4">
      <w:pPr>
        <w:pStyle w:val="NormalWeb"/>
        <w:numPr>
          <w:ilvl w:val="0"/>
          <w:numId w:val="1"/>
        </w:numPr>
        <w:jc w:val="lowKashida"/>
        <w:rPr>
          <w:rFonts w:asciiTheme="minorHAnsi" w:hAnsiTheme="minorHAnsi" w:cstheme="minorHAnsi"/>
          <w:sz w:val="28"/>
          <w:szCs w:val="28"/>
        </w:rPr>
      </w:pPr>
      <w:r w:rsidRPr="00C31CA4">
        <w:rPr>
          <w:rStyle w:val="Strong"/>
          <w:rFonts w:asciiTheme="minorHAnsi" w:eastAsiaTheme="majorEastAsia" w:hAnsiTheme="minorHAnsi" w:cstheme="minorHAnsi"/>
          <w:sz w:val="28"/>
          <w:szCs w:val="28"/>
        </w:rPr>
        <w:t>(Defendants 4 to 6, 9, 10, 13, 15, 19, 23, 24, 27, 29, 52, and 57):</w:t>
      </w:r>
      <w:r w:rsidRPr="00C31CA4">
        <w:rPr>
          <w:rFonts w:asciiTheme="minorHAnsi" w:hAnsiTheme="minorHAnsi" w:cstheme="minorHAnsi"/>
          <w:sz w:val="28"/>
          <w:szCs w:val="28"/>
        </w:rPr>
        <w:t xml:space="preserve"> Committed the crime of financing terrorism by providing, collecting, possessing, and </w:t>
      </w:r>
      <w:r w:rsidRPr="00C31CA4">
        <w:rPr>
          <w:rFonts w:asciiTheme="minorHAnsi" w:hAnsiTheme="minorHAnsi" w:cstheme="minorHAnsi"/>
          <w:sz w:val="28"/>
          <w:szCs w:val="28"/>
        </w:rPr>
        <w:lastRenderedPageBreak/>
        <w:t>transferring funds, premises, and information belonging to the organization in question.</w:t>
      </w:r>
    </w:p>
    <w:p w14:paraId="30FD7A86" w14:textId="77777777" w:rsidR="00C31CA4" w:rsidRPr="00C31CA4" w:rsidRDefault="00C31CA4" w:rsidP="00C31CA4">
      <w:pPr>
        <w:pStyle w:val="NormalWeb"/>
        <w:numPr>
          <w:ilvl w:val="0"/>
          <w:numId w:val="1"/>
        </w:numPr>
        <w:jc w:val="lowKashida"/>
        <w:rPr>
          <w:rFonts w:asciiTheme="minorHAnsi" w:hAnsiTheme="minorHAnsi" w:cstheme="minorHAnsi"/>
          <w:sz w:val="28"/>
          <w:szCs w:val="28"/>
        </w:rPr>
      </w:pPr>
      <w:r w:rsidRPr="00C31CA4">
        <w:rPr>
          <w:rStyle w:val="Strong"/>
          <w:rFonts w:asciiTheme="minorHAnsi" w:eastAsiaTheme="majorEastAsia" w:hAnsiTheme="minorHAnsi" w:cstheme="minorHAnsi"/>
          <w:sz w:val="28"/>
          <w:szCs w:val="28"/>
        </w:rPr>
        <w:t>(Defendants 2 to 24, 26 to 28, 30 to 32, 38 to 42, 44, 46, 48 to 52, 55, and 57):</w:t>
      </w:r>
      <w:r w:rsidRPr="00C31CA4">
        <w:rPr>
          <w:rFonts w:asciiTheme="minorHAnsi" w:hAnsiTheme="minorHAnsi" w:cstheme="minorHAnsi"/>
          <w:sz w:val="28"/>
          <w:szCs w:val="28"/>
        </w:rPr>
        <w:t xml:space="preserve"> Possessed publications and recordings containing material promoting the objectives of the organization under indictment, prepared for dissemination to others.</w:t>
      </w:r>
    </w:p>
    <w:p w14:paraId="075240D2"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The scope of the monitoring report focuses on </w:t>
      </w:r>
      <w:r w:rsidRPr="00C31CA4">
        <w:rPr>
          <w:rStyle w:val="Strong"/>
          <w:rFonts w:asciiTheme="minorHAnsi" w:eastAsiaTheme="majorEastAsia" w:hAnsiTheme="minorHAnsi" w:cstheme="minorHAnsi"/>
          <w:sz w:val="28"/>
          <w:szCs w:val="28"/>
        </w:rPr>
        <w:t>Defendant No. (34)</w:t>
      </w:r>
      <w:r w:rsidRPr="00C31CA4">
        <w:rPr>
          <w:rFonts w:asciiTheme="minorHAnsi" w:hAnsiTheme="minorHAnsi" w:cstheme="minorHAnsi"/>
          <w:sz w:val="28"/>
          <w:szCs w:val="28"/>
        </w:rPr>
        <w:t xml:space="preserve">, as listed in the referral order: </w:t>
      </w:r>
      <w:r w:rsidRPr="00C31CA4">
        <w:rPr>
          <w:rStyle w:val="Strong"/>
          <w:rFonts w:asciiTheme="minorHAnsi" w:eastAsiaTheme="majorEastAsia" w:hAnsiTheme="minorHAnsi" w:cstheme="minorHAnsi"/>
          <w:sz w:val="28"/>
          <w:szCs w:val="28"/>
        </w:rPr>
        <w:t>Dr. Ahmed Shawky Abdel Sattar Mohamed Amasha</w:t>
      </w:r>
      <w:r w:rsidRPr="00C31CA4">
        <w:rPr>
          <w:rFonts w:asciiTheme="minorHAnsi" w:hAnsiTheme="minorHAnsi" w:cstheme="minorHAnsi"/>
          <w:sz w:val="28"/>
          <w:szCs w:val="28"/>
        </w:rPr>
        <w:t>, a veterinarian, human rights and union activist, former head of the Veterinary Doctors’ Syndicate in Damietta (2011), founder of the Families of the Forcibly Disappeared Association, member of the National Committee for the Defense of Prisoners of Conscience (formed in 2011), founding member of the “</w:t>
      </w:r>
      <w:proofErr w:type="spellStart"/>
      <w:r w:rsidRPr="00C31CA4">
        <w:rPr>
          <w:rFonts w:asciiTheme="minorHAnsi" w:hAnsiTheme="minorHAnsi" w:cstheme="minorHAnsi"/>
          <w:sz w:val="28"/>
          <w:szCs w:val="28"/>
        </w:rPr>
        <w:t>Kefaya</w:t>
      </w:r>
      <w:proofErr w:type="spellEnd"/>
      <w:r w:rsidRPr="00C31CA4">
        <w:rPr>
          <w:rFonts w:asciiTheme="minorHAnsi" w:hAnsiTheme="minorHAnsi" w:cstheme="minorHAnsi"/>
          <w:sz w:val="28"/>
          <w:szCs w:val="28"/>
        </w:rPr>
        <w:t>” movement, and founder of the Arab Association for Environment and Sustainable Development. He also contributed to launching several human rights campaigns with Egyptian rights centers on the issue of enforced disappearance and supporting families of the disappeared.</w:t>
      </w:r>
    </w:p>
    <w:p w14:paraId="798D7F78"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It should be noted that on </w:t>
      </w:r>
      <w:r w:rsidRPr="00C31CA4">
        <w:rPr>
          <w:rStyle w:val="Strong"/>
          <w:rFonts w:asciiTheme="minorHAnsi" w:eastAsiaTheme="majorEastAsia" w:hAnsiTheme="minorHAnsi" w:cstheme="minorHAnsi"/>
          <w:sz w:val="28"/>
          <w:szCs w:val="28"/>
        </w:rPr>
        <w:t>10 March 2017</w:t>
      </w:r>
      <w:r w:rsidRPr="00C31CA4">
        <w:rPr>
          <w:rFonts w:asciiTheme="minorHAnsi" w:hAnsiTheme="minorHAnsi" w:cstheme="minorHAnsi"/>
          <w:sz w:val="28"/>
          <w:szCs w:val="28"/>
        </w:rPr>
        <w:t>, Dr. Amasha was arrested for the first time on a street in downtown Cairo. He was taken to a security facility where he was subjected to enforced disappearance, and his fate and whereabouts remained unknown for three weeks, before he reappeared before the Supreme State Security Prosecution, which ordered his pre-trial detention in Case No. 316 of 2017 (State Security). He was charged with joining a banned organization with knowledge of its objectives, without being confronted with any evidence proving his involvement in crimes during his alleged membership. The prosecution ordered the continuation of his detention and his transfer to Al-</w:t>
      </w:r>
      <w:proofErr w:type="spellStart"/>
      <w:r w:rsidRPr="00C31CA4">
        <w:rPr>
          <w:rFonts w:asciiTheme="minorHAnsi" w:hAnsiTheme="minorHAnsi" w:cstheme="minorHAnsi"/>
          <w:sz w:val="28"/>
          <w:szCs w:val="28"/>
        </w:rPr>
        <w:t>Mazraa</w:t>
      </w:r>
      <w:proofErr w:type="spellEnd"/>
      <w:r w:rsidRPr="00C31CA4">
        <w:rPr>
          <w:rFonts w:asciiTheme="minorHAnsi" w:hAnsiTheme="minorHAnsi" w:cstheme="minorHAnsi"/>
          <w:sz w:val="28"/>
          <w:szCs w:val="28"/>
        </w:rPr>
        <w:t xml:space="preserve"> Prison in the Tora prison complex.</w:t>
      </w:r>
    </w:p>
    <w:p w14:paraId="44600DDD"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It is worth noting that several human rights reports indicated that Dr. Amasha was subjected to torture during his pre-trial detention, which prompted </w:t>
      </w:r>
      <w:r w:rsidRPr="00C31CA4">
        <w:rPr>
          <w:rStyle w:val="Strong"/>
          <w:rFonts w:asciiTheme="minorHAnsi" w:eastAsiaTheme="majorEastAsia" w:hAnsiTheme="minorHAnsi" w:cstheme="minorHAnsi"/>
          <w:sz w:val="28"/>
          <w:szCs w:val="28"/>
        </w:rPr>
        <w:t>four UN Special Rapporteurs</w:t>
      </w:r>
      <w:r w:rsidRPr="00C31CA4">
        <w:rPr>
          <w:rFonts w:asciiTheme="minorHAnsi" w:hAnsiTheme="minorHAnsi" w:cstheme="minorHAnsi"/>
          <w:sz w:val="28"/>
          <w:szCs w:val="28"/>
        </w:rPr>
        <w:t xml:space="preserve"> to issue a statement on </w:t>
      </w:r>
      <w:r w:rsidRPr="00C31CA4">
        <w:rPr>
          <w:rStyle w:val="Strong"/>
          <w:rFonts w:asciiTheme="minorHAnsi" w:eastAsiaTheme="majorEastAsia" w:hAnsiTheme="minorHAnsi" w:cstheme="minorHAnsi"/>
          <w:sz w:val="28"/>
          <w:szCs w:val="28"/>
        </w:rPr>
        <w:t>3 May 2017</w:t>
      </w:r>
      <w:r w:rsidRPr="00C31CA4">
        <w:rPr>
          <w:rFonts w:asciiTheme="minorHAnsi" w:hAnsiTheme="minorHAnsi" w:cstheme="minorHAnsi"/>
          <w:sz w:val="28"/>
          <w:szCs w:val="28"/>
        </w:rPr>
        <w:t>, expressing concern over his arrest, detention, torture, ill-treatment, and denial of visits from his family and lawyers, in retaliation for his human rights work, including documenting enforced disappearance cases to communicate with the UN Working Group on Enforced or Involuntary Disappearances.</w:t>
      </w:r>
    </w:p>
    <w:p w14:paraId="3400A716"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lastRenderedPageBreak/>
        <w:t xml:space="preserve">This led Dr. Amasha’s defense team to file an appeal before the Administrative Court to annul the negative decision to prevent him from receiving visits. On </w:t>
      </w:r>
      <w:r w:rsidRPr="00C31CA4">
        <w:rPr>
          <w:rStyle w:val="Strong"/>
          <w:rFonts w:asciiTheme="minorHAnsi" w:eastAsiaTheme="majorEastAsia" w:hAnsiTheme="minorHAnsi" w:cstheme="minorHAnsi"/>
          <w:sz w:val="28"/>
          <w:szCs w:val="28"/>
        </w:rPr>
        <w:t>28 February 2019</w:t>
      </w:r>
      <w:r w:rsidRPr="00C31CA4">
        <w:rPr>
          <w:rFonts w:asciiTheme="minorHAnsi" w:hAnsiTheme="minorHAnsi" w:cstheme="minorHAnsi"/>
          <w:sz w:val="28"/>
          <w:szCs w:val="28"/>
        </w:rPr>
        <w:t>, the court ruled to suspend the decision banning visits.</w:t>
      </w:r>
    </w:p>
    <w:p w14:paraId="1816BBA1"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After more than two years in pre-trial detention, on </w:t>
      </w:r>
      <w:r w:rsidRPr="00C31CA4">
        <w:rPr>
          <w:rStyle w:val="Strong"/>
          <w:rFonts w:asciiTheme="minorHAnsi" w:eastAsiaTheme="majorEastAsia" w:hAnsiTheme="minorHAnsi" w:cstheme="minorHAnsi"/>
          <w:sz w:val="28"/>
          <w:szCs w:val="28"/>
        </w:rPr>
        <w:t>20 July 2019</w:t>
      </w:r>
      <w:r w:rsidRPr="00C31CA4">
        <w:rPr>
          <w:rFonts w:asciiTheme="minorHAnsi" w:hAnsiTheme="minorHAnsi" w:cstheme="minorHAnsi"/>
          <w:sz w:val="28"/>
          <w:szCs w:val="28"/>
        </w:rPr>
        <w:t xml:space="preserve">, the Cairo Criminal Court ordered Dr. Amasha’s release under precautionary measures, as he had exceeded the maximum pre-trial detention period of two years prescribed by law for crimes punishable by life imprisonment or death. However, he remained unlawfully detained, and the decision was not implemented until </w:t>
      </w:r>
      <w:r w:rsidRPr="00C31CA4">
        <w:rPr>
          <w:rStyle w:val="Strong"/>
          <w:rFonts w:asciiTheme="minorHAnsi" w:eastAsiaTheme="majorEastAsia" w:hAnsiTheme="minorHAnsi" w:cstheme="minorHAnsi"/>
          <w:sz w:val="28"/>
          <w:szCs w:val="28"/>
        </w:rPr>
        <w:t>4 October 2019</w:t>
      </w:r>
      <w:r w:rsidRPr="00C31CA4">
        <w:rPr>
          <w:rFonts w:asciiTheme="minorHAnsi" w:hAnsiTheme="minorHAnsi" w:cstheme="minorHAnsi"/>
          <w:sz w:val="28"/>
          <w:szCs w:val="28"/>
        </w:rPr>
        <w:t>.</w:t>
      </w:r>
    </w:p>
    <w:p w14:paraId="3B28D1A7"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Despite Dr. Amasha’s compliance with the precautionary measures imposed on him at the local police station until the court lifted them, he was rearrested, subjected to enforced disappearance, and his name re-listed in connection with a new case on similar charges.</w:t>
      </w:r>
    </w:p>
    <w:p w14:paraId="27FFB60E"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After only eight months had passed since his release order, and specifically on </w:t>
      </w:r>
      <w:r w:rsidRPr="00C31CA4">
        <w:rPr>
          <w:rStyle w:val="Strong"/>
          <w:rFonts w:asciiTheme="minorHAnsi" w:eastAsiaTheme="majorEastAsia" w:hAnsiTheme="minorHAnsi" w:cstheme="minorHAnsi"/>
          <w:sz w:val="28"/>
          <w:szCs w:val="28"/>
        </w:rPr>
        <w:t>17 June 2020</w:t>
      </w:r>
      <w:r w:rsidRPr="00C31CA4">
        <w:rPr>
          <w:rFonts w:asciiTheme="minorHAnsi" w:hAnsiTheme="minorHAnsi" w:cstheme="minorHAnsi"/>
          <w:sz w:val="28"/>
          <w:szCs w:val="28"/>
        </w:rPr>
        <w:t>, the son of Dr. Ahmed Shawky Amasha announced that his father had been arrested for the second time and taken to an undisclosed location. His family also reported that communication with him was cut off following a police raid on their home in the Helwan district, south of Cairo, after which he was taken to an unknown destination. Accordingly, the family submitted complaints to the Public Prosecutor and the Minister of Interior, reporting the incident of his arrest and disappearance, and demanding disclosure of his whereabouts and his release.</w:t>
      </w:r>
    </w:p>
    <w:p w14:paraId="17F80E61"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On </w:t>
      </w:r>
      <w:r w:rsidRPr="00C31CA4">
        <w:rPr>
          <w:rStyle w:val="Strong"/>
          <w:rFonts w:asciiTheme="minorHAnsi" w:eastAsiaTheme="majorEastAsia" w:hAnsiTheme="minorHAnsi" w:cstheme="minorHAnsi"/>
          <w:sz w:val="28"/>
          <w:szCs w:val="28"/>
        </w:rPr>
        <w:t>12 July 2020</w:t>
      </w:r>
      <w:r w:rsidRPr="00C31CA4">
        <w:rPr>
          <w:rFonts w:asciiTheme="minorHAnsi" w:hAnsiTheme="minorHAnsi" w:cstheme="minorHAnsi"/>
          <w:sz w:val="28"/>
          <w:szCs w:val="28"/>
        </w:rPr>
        <w:t xml:space="preserve">, after </w:t>
      </w:r>
      <w:r w:rsidRPr="00C31CA4">
        <w:rPr>
          <w:rStyle w:val="Strong"/>
          <w:rFonts w:asciiTheme="minorHAnsi" w:eastAsiaTheme="majorEastAsia" w:hAnsiTheme="minorHAnsi" w:cstheme="minorHAnsi"/>
          <w:sz w:val="28"/>
          <w:szCs w:val="28"/>
        </w:rPr>
        <w:t>25 days of enforced disappearance</w:t>
      </w:r>
      <w:r w:rsidRPr="00C31CA4">
        <w:rPr>
          <w:rFonts w:asciiTheme="minorHAnsi" w:hAnsiTheme="minorHAnsi" w:cstheme="minorHAnsi"/>
          <w:sz w:val="28"/>
          <w:szCs w:val="28"/>
        </w:rPr>
        <w:t xml:space="preserve">, he was brought before the Supreme State Security Prosecution for interrogation in Case No. 1360 of 2019 (State Security), which is the case under monitoring. He was charged with joining a banned terrorist organization, in addition to possessing publications and recordings promoting the ideology of that organization. Dr. Amasha stated that he had in fact been arrested on </w:t>
      </w:r>
      <w:r w:rsidRPr="00C31CA4">
        <w:rPr>
          <w:rStyle w:val="Strong"/>
          <w:rFonts w:asciiTheme="minorHAnsi" w:eastAsiaTheme="majorEastAsia" w:hAnsiTheme="minorHAnsi" w:cstheme="minorHAnsi"/>
          <w:sz w:val="28"/>
          <w:szCs w:val="28"/>
        </w:rPr>
        <w:t>16 June 2020</w:t>
      </w:r>
      <w:r w:rsidRPr="00C31CA4">
        <w:rPr>
          <w:rFonts w:asciiTheme="minorHAnsi" w:hAnsiTheme="minorHAnsi" w:cstheme="minorHAnsi"/>
          <w:sz w:val="28"/>
          <w:szCs w:val="28"/>
        </w:rPr>
        <w:t>, from the Nile Corniche in front of “Nile Country” in Helwan Gardens.</w:t>
      </w:r>
    </w:p>
    <w:p w14:paraId="224C6A2B"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The investigations concluded with the prosecution ordering his </w:t>
      </w:r>
      <w:r w:rsidRPr="00C31CA4">
        <w:rPr>
          <w:rStyle w:val="Strong"/>
          <w:rFonts w:asciiTheme="minorHAnsi" w:eastAsiaTheme="majorEastAsia" w:hAnsiTheme="minorHAnsi" w:cstheme="minorHAnsi"/>
          <w:sz w:val="28"/>
          <w:szCs w:val="28"/>
        </w:rPr>
        <w:t>15-day pre-trial detention</w:t>
      </w:r>
      <w:r w:rsidRPr="00C31CA4">
        <w:rPr>
          <w:rFonts w:asciiTheme="minorHAnsi" w:hAnsiTheme="minorHAnsi" w:cstheme="minorHAnsi"/>
          <w:sz w:val="28"/>
          <w:szCs w:val="28"/>
        </w:rPr>
        <w:t xml:space="preserve">, after which detention renewal orders continued to be issued on a regular basis until the case was referred to the Emergency State Security Criminal Court for trial on the charges brought against the defendants. On </w:t>
      </w:r>
      <w:r w:rsidRPr="00C31CA4">
        <w:rPr>
          <w:rStyle w:val="Strong"/>
          <w:rFonts w:asciiTheme="minorHAnsi" w:eastAsiaTheme="majorEastAsia" w:hAnsiTheme="minorHAnsi" w:cstheme="minorHAnsi"/>
          <w:sz w:val="28"/>
          <w:szCs w:val="28"/>
        </w:rPr>
        <w:t>30 August 2022</w:t>
      </w:r>
      <w:r w:rsidRPr="00C31CA4">
        <w:rPr>
          <w:rFonts w:asciiTheme="minorHAnsi" w:hAnsiTheme="minorHAnsi" w:cstheme="minorHAnsi"/>
          <w:sz w:val="28"/>
          <w:szCs w:val="28"/>
        </w:rPr>
        <w:t xml:space="preserve">, the Supreme State Security Prosecution referred Dr. Amasha, as Defendant No. 34, along with </w:t>
      </w:r>
      <w:r w:rsidRPr="00C31CA4">
        <w:rPr>
          <w:rStyle w:val="Strong"/>
          <w:rFonts w:asciiTheme="minorHAnsi" w:eastAsiaTheme="majorEastAsia" w:hAnsiTheme="minorHAnsi" w:cstheme="minorHAnsi"/>
          <w:sz w:val="28"/>
          <w:szCs w:val="28"/>
        </w:rPr>
        <w:t>56 other defendants</w:t>
      </w:r>
      <w:r w:rsidRPr="00C31CA4">
        <w:rPr>
          <w:rFonts w:asciiTheme="minorHAnsi" w:hAnsiTheme="minorHAnsi" w:cstheme="minorHAnsi"/>
          <w:sz w:val="28"/>
          <w:szCs w:val="28"/>
        </w:rPr>
        <w:t>, to trial in connection with the case at hand.</w:t>
      </w:r>
    </w:p>
    <w:p w14:paraId="6891BFAC" w14:textId="77777777" w:rsidR="00C31CA4" w:rsidRPr="00C31CA4" w:rsidRDefault="00C31CA4" w:rsidP="00C31CA4">
      <w:pPr>
        <w:pStyle w:val="NormalWeb"/>
        <w:jc w:val="lowKashida"/>
        <w:rPr>
          <w:rFonts w:asciiTheme="minorHAnsi" w:hAnsiTheme="minorHAnsi" w:cstheme="minorHAnsi"/>
          <w:sz w:val="28"/>
          <w:szCs w:val="28"/>
          <w:rtl/>
        </w:rPr>
      </w:pPr>
      <w:r w:rsidRPr="00C31CA4">
        <w:rPr>
          <w:rFonts w:asciiTheme="minorHAnsi" w:hAnsiTheme="minorHAnsi" w:cstheme="minorHAnsi"/>
          <w:sz w:val="28"/>
          <w:szCs w:val="28"/>
        </w:rPr>
        <w:lastRenderedPageBreak/>
        <w:t xml:space="preserve">It is noteworthy that the circumstances of Dr. Amasha’s arrest, and the violations and abuses he endured during both his enforced disappearance and pre-trial detention, reflect a </w:t>
      </w:r>
      <w:r w:rsidRPr="00C31CA4">
        <w:rPr>
          <w:rStyle w:val="Strong"/>
          <w:rFonts w:asciiTheme="minorHAnsi" w:eastAsiaTheme="majorEastAsia" w:hAnsiTheme="minorHAnsi" w:cstheme="minorHAnsi"/>
          <w:sz w:val="28"/>
          <w:szCs w:val="28"/>
        </w:rPr>
        <w:t>recurring pattern</w:t>
      </w:r>
      <w:r w:rsidRPr="00C31CA4">
        <w:rPr>
          <w:rFonts w:asciiTheme="minorHAnsi" w:hAnsiTheme="minorHAnsi" w:cstheme="minorHAnsi"/>
          <w:sz w:val="28"/>
          <w:szCs w:val="28"/>
        </w:rPr>
        <w:t xml:space="preserve"> in most counterterrorism cases, as the other defendants in the same case have likewise been subjected to similar grave violations and irregularities during their pre-trial detention over the past five years.</w:t>
      </w:r>
    </w:p>
    <w:p w14:paraId="3A731156" w14:textId="77777777" w:rsidR="00C31CA4" w:rsidRPr="004F27B2" w:rsidRDefault="00C31CA4" w:rsidP="00A70702">
      <w:pPr>
        <w:pStyle w:val="Heading3"/>
      </w:pPr>
      <w:bookmarkStart w:id="3" w:name="_Toc208859232"/>
      <w:r w:rsidRPr="004F27B2">
        <w:rPr>
          <w:rStyle w:val="Strong"/>
          <w:b/>
          <w:bCs w:val="0"/>
          <w:sz w:val="32"/>
          <w:szCs w:val="32"/>
        </w:rPr>
        <w:t>First: Listing on Terrorism Lists and the Absence of Procedural Safeguards for Suspects Before Judicial Platforms</w:t>
      </w:r>
      <w:bookmarkEnd w:id="3"/>
    </w:p>
    <w:p w14:paraId="6B6CE0A3"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On </w:t>
      </w:r>
      <w:r w:rsidRPr="00C31CA4">
        <w:rPr>
          <w:rStyle w:val="Strong"/>
          <w:rFonts w:asciiTheme="minorHAnsi" w:eastAsiaTheme="majorEastAsia" w:hAnsiTheme="minorHAnsi" w:cstheme="minorHAnsi"/>
          <w:sz w:val="28"/>
          <w:szCs w:val="28"/>
        </w:rPr>
        <w:t>14 September 2022</w:t>
      </w:r>
      <w:r w:rsidRPr="00C31CA4">
        <w:rPr>
          <w:rFonts w:asciiTheme="minorHAnsi" w:hAnsiTheme="minorHAnsi" w:cstheme="minorHAnsi"/>
          <w:sz w:val="28"/>
          <w:szCs w:val="28"/>
        </w:rPr>
        <w:t>, the (10th – South) Circuit of the Cairo Criminal Court, convening in chambers, issued a decision to list Defendant No. (34) in the case under review, Dr. Ahmed Shawky Abdel Sattar Amasha, along with others, on the terrorism list for a period of five years starting from the date of the decision, with all legal consequences arising therefrom. This decision was based on Listing Request No. 10 of 2022 (Terrorist Designation Decisions), submitted by the Public Prosecutor regarding Case No. 1360 of 2019.</w:t>
      </w:r>
    </w:p>
    <w:p w14:paraId="4AF2C998"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Although </w:t>
      </w:r>
      <w:r w:rsidRPr="00C31CA4">
        <w:rPr>
          <w:rStyle w:val="Strong"/>
          <w:rFonts w:asciiTheme="minorHAnsi" w:eastAsiaTheme="majorEastAsia" w:hAnsiTheme="minorHAnsi" w:cstheme="minorHAnsi"/>
          <w:sz w:val="28"/>
          <w:szCs w:val="28"/>
        </w:rPr>
        <w:t>Article (3)</w:t>
      </w:r>
      <w:r w:rsidRPr="00C31CA4">
        <w:rPr>
          <w:rFonts w:asciiTheme="minorHAnsi" w:hAnsiTheme="minorHAnsi" w:cstheme="minorHAnsi"/>
          <w:sz w:val="28"/>
          <w:szCs w:val="28"/>
        </w:rPr>
        <w:t xml:space="preserve"> of Law No. 8 of 2015, regulating the lists of terrorist entities and terrorists, explicitly stipulates that </w:t>
      </w:r>
      <w:r w:rsidRPr="00C31CA4">
        <w:rPr>
          <w:rStyle w:val="Emphasis"/>
          <w:rFonts w:asciiTheme="minorHAnsi" w:eastAsiaTheme="majorEastAsia" w:hAnsiTheme="minorHAnsi" w:cstheme="minorHAnsi"/>
          <w:sz w:val="28"/>
          <w:szCs w:val="28"/>
        </w:rPr>
        <w:t>“the request for designation shall be submitted by the Public Prosecutor to the competent chamber, accompanied by investigations, documents, reports, or information supporting the request,”</w:t>
      </w:r>
      <w:r w:rsidRPr="00C31CA4">
        <w:rPr>
          <w:rFonts w:asciiTheme="minorHAnsi" w:hAnsiTheme="minorHAnsi" w:cstheme="minorHAnsi"/>
          <w:sz w:val="28"/>
          <w:szCs w:val="28"/>
        </w:rPr>
        <w:t xml:space="preserve"> and that </w:t>
      </w:r>
      <w:r w:rsidRPr="00C31CA4">
        <w:rPr>
          <w:rStyle w:val="Emphasis"/>
          <w:rFonts w:asciiTheme="minorHAnsi" w:eastAsiaTheme="majorEastAsia" w:hAnsiTheme="minorHAnsi" w:cstheme="minorHAnsi"/>
          <w:sz w:val="28"/>
          <w:szCs w:val="28"/>
        </w:rPr>
        <w:t>“the competent chamber shall decide on the request with a reasoned ruling within seven days of its submission, complete with the necessary documents,”</w:t>
      </w:r>
      <w:r w:rsidRPr="00C31CA4">
        <w:rPr>
          <w:rFonts w:asciiTheme="minorHAnsi" w:hAnsiTheme="minorHAnsi" w:cstheme="minorHAnsi"/>
          <w:sz w:val="28"/>
          <w:szCs w:val="28"/>
        </w:rPr>
        <w:t xml:space="preserve"> in practice, the court merely assesses the seriousness of the request before issuing a decision to list individuals. This constitutes a serious breach of several fundamental safeguards, such as the right to the presumption of innocence and the right to defense. In fact, reliance solely on investigations and security information, in the form of desk reports, clearly violates the principle of sufficiency of evidence and undermines the core elements of a fair trial, including the right to be informed of the reasons for the measure.</w:t>
      </w:r>
    </w:p>
    <w:p w14:paraId="5F2CBA23"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In the case under review, the court’s decision contained </w:t>
      </w:r>
      <w:r w:rsidRPr="00C31CA4">
        <w:rPr>
          <w:rStyle w:val="Strong"/>
          <w:rFonts w:asciiTheme="minorHAnsi" w:eastAsiaTheme="majorEastAsia" w:hAnsiTheme="minorHAnsi" w:cstheme="minorHAnsi"/>
          <w:sz w:val="28"/>
          <w:szCs w:val="28"/>
        </w:rPr>
        <w:t xml:space="preserve">no </w:t>
      </w:r>
      <w:proofErr w:type="gramStart"/>
      <w:r w:rsidRPr="00C31CA4">
        <w:rPr>
          <w:rStyle w:val="Strong"/>
          <w:rFonts w:asciiTheme="minorHAnsi" w:eastAsiaTheme="majorEastAsia" w:hAnsiTheme="minorHAnsi" w:cstheme="minorHAnsi"/>
          <w:sz w:val="28"/>
          <w:szCs w:val="28"/>
        </w:rPr>
        <w:t>reasoning</w:t>
      </w:r>
      <w:proofErr w:type="gramEnd"/>
      <w:r w:rsidRPr="00C31CA4">
        <w:rPr>
          <w:rStyle w:val="Strong"/>
          <w:rFonts w:asciiTheme="minorHAnsi" w:eastAsiaTheme="majorEastAsia" w:hAnsiTheme="minorHAnsi" w:cstheme="minorHAnsi"/>
          <w:sz w:val="28"/>
          <w:szCs w:val="28"/>
        </w:rPr>
        <w:t xml:space="preserve"> whatsoever</w:t>
      </w:r>
      <w:r w:rsidRPr="00C31CA4">
        <w:rPr>
          <w:rFonts w:asciiTheme="minorHAnsi" w:hAnsiTheme="minorHAnsi" w:cstheme="minorHAnsi"/>
          <w:sz w:val="28"/>
          <w:szCs w:val="28"/>
        </w:rPr>
        <w:t xml:space="preserve"> for the inclusion of Dr. Amasha on terrorism lists, nor any reference to the documents, investigations, or information allegedly submitted by the Public Prosecutor in support of the request. The Court of Cassation, in several of its rulings, has held that such lack of reasoning constitutes a “deficiency in justification warranting nullity,” stressing that the inclusion of such information is essential to </w:t>
      </w:r>
      <w:r w:rsidRPr="00C31CA4">
        <w:rPr>
          <w:rFonts w:asciiTheme="minorHAnsi" w:hAnsiTheme="minorHAnsi" w:cstheme="minorHAnsi"/>
          <w:sz w:val="28"/>
          <w:szCs w:val="28"/>
        </w:rPr>
        <w:lastRenderedPageBreak/>
        <w:t>enable it to review the legal application of facts forming the basis of designation decisions, and that their absence renders such decisions defective and subject to annulment.</w:t>
      </w:r>
    </w:p>
    <w:p w14:paraId="51EDBC76"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At the same time, the Anti-Terrorism Entities Law provides </w:t>
      </w:r>
      <w:r w:rsidRPr="00C31CA4">
        <w:rPr>
          <w:rStyle w:val="Strong"/>
          <w:rFonts w:asciiTheme="minorHAnsi" w:eastAsiaTheme="majorEastAsia" w:hAnsiTheme="minorHAnsi" w:cstheme="minorHAnsi"/>
          <w:sz w:val="28"/>
          <w:szCs w:val="28"/>
        </w:rPr>
        <w:t>no safeguards</w:t>
      </w:r>
      <w:r w:rsidRPr="00C31CA4">
        <w:rPr>
          <w:rFonts w:asciiTheme="minorHAnsi" w:hAnsiTheme="minorHAnsi" w:cstheme="minorHAnsi"/>
          <w:sz w:val="28"/>
          <w:szCs w:val="28"/>
        </w:rPr>
        <w:t xml:space="preserve"> other than the right to appeal designation rulings before the Court of Cassation within </w:t>
      </w:r>
      <w:r w:rsidRPr="00C31CA4">
        <w:rPr>
          <w:rStyle w:val="Strong"/>
          <w:rFonts w:asciiTheme="minorHAnsi" w:eastAsiaTheme="majorEastAsia" w:hAnsiTheme="minorHAnsi" w:cstheme="minorHAnsi"/>
          <w:sz w:val="28"/>
          <w:szCs w:val="28"/>
        </w:rPr>
        <w:t>60 days</w:t>
      </w:r>
      <w:r w:rsidRPr="00C31CA4">
        <w:rPr>
          <w:rFonts w:asciiTheme="minorHAnsi" w:hAnsiTheme="minorHAnsi" w:cstheme="minorHAnsi"/>
          <w:sz w:val="28"/>
          <w:szCs w:val="28"/>
        </w:rPr>
        <w:t xml:space="preserve"> of publication. This limited right of appeal stands as the only procedural safeguard in the entire designation framework. It is noteworthy that between </w:t>
      </w:r>
      <w:r w:rsidRPr="00C31CA4">
        <w:rPr>
          <w:rStyle w:val="Strong"/>
          <w:rFonts w:asciiTheme="minorHAnsi" w:eastAsiaTheme="majorEastAsia" w:hAnsiTheme="minorHAnsi" w:cstheme="minorHAnsi"/>
          <w:sz w:val="28"/>
          <w:szCs w:val="28"/>
        </w:rPr>
        <w:t>2015 and 2020</w:t>
      </w:r>
      <w:r w:rsidRPr="00C31CA4">
        <w:rPr>
          <w:rFonts w:asciiTheme="minorHAnsi" w:hAnsiTheme="minorHAnsi" w:cstheme="minorHAnsi"/>
          <w:sz w:val="28"/>
          <w:szCs w:val="28"/>
        </w:rPr>
        <w:t>, the Court of Cassation annulled many designation rulings covering hundreds of terrorism suspects, generally on the grounds of insufficient objective evidence to justify such measures. The Court emphasized that reliance on vague and general statements was insufficient to uphold such rulings, which instead must include a detailed statement of the specific terrorist crimes allegedly committed.</w:t>
      </w:r>
    </w:p>
    <w:p w14:paraId="2863DC5A"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Despite this established jurisprudence, Dr. Amasha’s defense team appealed the designation decision, but the Court of Cassation upheld the ruling of the Cairo Criminal Court, thereby rendering the decision final and effective for the prescribed five-year period.</w:t>
      </w:r>
    </w:p>
    <w:p w14:paraId="1A09283D"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The </w:t>
      </w:r>
      <w:r w:rsidRPr="00C31CA4">
        <w:rPr>
          <w:rStyle w:val="Strong"/>
          <w:rFonts w:asciiTheme="minorHAnsi" w:eastAsiaTheme="majorEastAsia" w:hAnsiTheme="minorHAnsi" w:cstheme="minorHAnsi"/>
          <w:sz w:val="28"/>
          <w:szCs w:val="28"/>
        </w:rPr>
        <w:t>legal consequences</w:t>
      </w:r>
      <w:r w:rsidRPr="00C31CA4">
        <w:rPr>
          <w:rFonts w:asciiTheme="minorHAnsi" w:hAnsiTheme="minorHAnsi" w:cstheme="minorHAnsi"/>
          <w:sz w:val="28"/>
          <w:szCs w:val="28"/>
        </w:rPr>
        <w:t xml:space="preserve"> of designation decisions remain among the most controversial issues, given the restrictions they impose on several fundamental rights of listed individuals, including freedom of movement and property rights. Under the Anti-Terrorism Entities Law, listed individuals are placed on travel ban and watch lists, and they lose the condition of “good reputation and conduct” required for holding public office or parliamentary seats.</w:t>
      </w:r>
    </w:p>
    <w:p w14:paraId="6C5960D5"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The current </w:t>
      </w:r>
      <w:r w:rsidRPr="00C31CA4">
        <w:rPr>
          <w:rStyle w:val="Strong"/>
          <w:rFonts w:asciiTheme="minorHAnsi" w:eastAsiaTheme="majorEastAsia" w:hAnsiTheme="minorHAnsi" w:cstheme="minorHAnsi"/>
          <w:sz w:val="28"/>
          <w:szCs w:val="28"/>
        </w:rPr>
        <w:t>legal framework</w:t>
      </w:r>
      <w:r w:rsidRPr="00C31CA4">
        <w:rPr>
          <w:rFonts w:asciiTheme="minorHAnsi" w:hAnsiTheme="minorHAnsi" w:cstheme="minorHAnsi"/>
          <w:sz w:val="28"/>
          <w:szCs w:val="28"/>
        </w:rPr>
        <w:t xml:space="preserve"> governing designation, which entails restrictions on several fundamental rights, lacks the minimum procedural safeguards necessary to prevent abuse. While designation is presented as a preventive measure, this supposed preventive nature reveals significant problems, notably the absence of minimum standards for the protection of fundamental rights and the absence of guarantees to uphold the rule of law. The explanatory memorandum of Law No. 8 of 2015 states that its main purpose is to create a “preventive mechanism” in the form of terrorism lists, aimed at safeguarding the state’s security and stability and preventing criminals from exploiting gaps in criminal law. However, despite this stated preventive objective, the current framework fails to provide sufficient guarantees against abuse of such coercive measures.</w:t>
      </w:r>
    </w:p>
    <w:p w14:paraId="3BE4BFD1"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lastRenderedPageBreak/>
        <w:t xml:space="preserve">The expansion of preventive techniques within counterterrorism regulations grants the state </w:t>
      </w:r>
      <w:r w:rsidRPr="00C31CA4">
        <w:rPr>
          <w:rStyle w:val="Strong"/>
          <w:rFonts w:asciiTheme="minorHAnsi" w:eastAsiaTheme="majorEastAsia" w:hAnsiTheme="minorHAnsi" w:cstheme="minorHAnsi"/>
          <w:sz w:val="28"/>
          <w:szCs w:val="28"/>
        </w:rPr>
        <w:t>broad coercive powers</w:t>
      </w:r>
      <w:r w:rsidRPr="00C31CA4">
        <w:rPr>
          <w:rFonts w:asciiTheme="minorHAnsi" w:hAnsiTheme="minorHAnsi" w:cstheme="minorHAnsi"/>
          <w:sz w:val="28"/>
          <w:szCs w:val="28"/>
        </w:rPr>
        <w:t xml:space="preserve"> against individuals, threatening their fundamental rights without offering the protections enshrined in traditional criminal justice systems. Unlike emergency regimes, in which fundamental rights are temporarily restricted or suspended, counterterrorism measures often function as </w:t>
      </w:r>
      <w:r w:rsidRPr="00C31CA4">
        <w:rPr>
          <w:rStyle w:val="Strong"/>
          <w:rFonts w:asciiTheme="minorHAnsi" w:eastAsiaTheme="majorEastAsia" w:hAnsiTheme="minorHAnsi" w:cstheme="minorHAnsi"/>
          <w:sz w:val="28"/>
          <w:szCs w:val="28"/>
        </w:rPr>
        <w:t>permanent legal tools</w:t>
      </w:r>
      <w:r w:rsidRPr="00C31CA4">
        <w:rPr>
          <w:rFonts w:asciiTheme="minorHAnsi" w:hAnsiTheme="minorHAnsi" w:cstheme="minorHAnsi"/>
          <w:sz w:val="28"/>
          <w:szCs w:val="28"/>
        </w:rPr>
        <w:t xml:space="preserve"> in modern legal systems. Such measures, including preventive ones, must therefore be subject to constitutional principles and evaluated against rule of law standards. Yet these principles are conspicuously absent from Egypt’s counterterrorism system, starting with the </w:t>
      </w:r>
      <w:r w:rsidRPr="00C31CA4">
        <w:rPr>
          <w:rStyle w:val="Strong"/>
          <w:rFonts w:asciiTheme="minorHAnsi" w:eastAsiaTheme="majorEastAsia" w:hAnsiTheme="minorHAnsi" w:cstheme="minorHAnsi"/>
          <w:sz w:val="28"/>
          <w:szCs w:val="28"/>
        </w:rPr>
        <w:t>broad and imprecise definitions of terrorist crimes</w:t>
      </w:r>
      <w:r w:rsidRPr="00C31CA4">
        <w:rPr>
          <w:rFonts w:asciiTheme="minorHAnsi" w:hAnsiTheme="minorHAnsi" w:cstheme="minorHAnsi"/>
          <w:sz w:val="28"/>
          <w:szCs w:val="28"/>
        </w:rPr>
        <w:t>, which violate principles of legal clarity and fair classification of crimes (such as the principle of maximum certainty in definitions and classifications). This is also evident in designation rulings and their related procedures, which are meant to be preventive in nature.</w:t>
      </w:r>
    </w:p>
    <w:p w14:paraId="519F9941"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The </w:t>
      </w:r>
      <w:r w:rsidRPr="00C31CA4">
        <w:rPr>
          <w:rStyle w:val="Strong"/>
          <w:rFonts w:asciiTheme="minorHAnsi" w:eastAsiaTheme="majorEastAsia" w:hAnsiTheme="minorHAnsi" w:cstheme="minorHAnsi"/>
          <w:sz w:val="28"/>
          <w:szCs w:val="28"/>
        </w:rPr>
        <w:t>failure to apply core rule of law values</w:t>
      </w:r>
      <w:r w:rsidRPr="00C31CA4">
        <w:rPr>
          <w:rFonts w:asciiTheme="minorHAnsi" w:hAnsiTheme="minorHAnsi" w:cstheme="minorHAnsi"/>
          <w:sz w:val="28"/>
          <w:szCs w:val="28"/>
        </w:rPr>
        <w:t xml:space="preserve">—such as the presumption of innocence, fair trial guarantees, and the right to know the reasons underlying coercive measures—represents a fundamental breach of international legal standards. Moreover, the absence of a requirement for a </w:t>
      </w:r>
      <w:r w:rsidRPr="00C31CA4">
        <w:rPr>
          <w:rStyle w:val="Strong"/>
          <w:rFonts w:asciiTheme="minorHAnsi" w:eastAsiaTheme="majorEastAsia" w:hAnsiTheme="minorHAnsi" w:cstheme="minorHAnsi"/>
          <w:sz w:val="28"/>
          <w:szCs w:val="28"/>
        </w:rPr>
        <w:t>criminal conviction in a terrorism case</w:t>
      </w:r>
      <w:r w:rsidRPr="00C31CA4">
        <w:rPr>
          <w:rFonts w:asciiTheme="minorHAnsi" w:hAnsiTheme="minorHAnsi" w:cstheme="minorHAnsi"/>
          <w:sz w:val="28"/>
          <w:szCs w:val="28"/>
        </w:rPr>
        <w:t xml:space="preserve"> as a precondition for designation poses a serious problem in terms of the rule of law. This situation allows the imposition of coercive measures on individuals merely “suspected” of terrorism, based on </w:t>
      </w:r>
      <w:r w:rsidRPr="00C31CA4">
        <w:rPr>
          <w:rStyle w:val="Strong"/>
          <w:rFonts w:asciiTheme="minorHAnsi" w:eastAsiaTheme="majorEastAsia" w:hAnsiTheme="minorHAnsi" w:cstheme="minorHAnsi"/>
          <w:sz w:val="28"/>
          <w:szCs w:val="28"/>
        </w:rPr>
        <w:t>predictions of what they might do in the future</w:t>
      </w:r>
      <w:r w:rsidRPr="00C31CA4">
        <w:rPr>
          <w:rFonts w:asciiTheme="minorHAnsi" w:hAnsiTheme="minorHAnsi" w:cstheme="minorHAnsi"/>
          <w:sz w:val="28"/>
          <w:szCs w:val="28"/>
        </w:rPr>
        <w:t>.</w:t>
      </w:r>
    </w:p>
    <w:p w14:paraId="72C734C4"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Imposing restrictions based on potential future conduct raises the risk of what could be perceived as “selective prosecution” on impermissible grounds such as race, gender, religion, or political affiliation. Predicting what an individual might do necessarily involves making judgments based on generalizations about the targeted person, with a real risk of reliance on group stereotypes that violate equality principles. Such identity-based approaches (e.g., political identity) arising from the prospective nature of preventive coercive measures undermine the principles of generality and equality that underpin the rule of law. This opens the door to misuse of preventive measures, particularly in times of crisis, when fear prevails, and it becomes easier to exclude “others” under the guise of counterterrorism.</w:t>
      </w:r>
    </w:p>
    <w:p w14:paraId="5F404175" w14:textId="77777777" w:rsidR="00C31CA4" w:rsidRPr="00A70702" w:rsidRDefault="00C31CA4" w:rsidP="00A70702">
      <w:pPr>
        <w:pStyle w:val="Heading3"/>
      </w:pPr>
      <w:bookmarkStart w:id="4" w:name="_Toc208859233"/>
      <w:r w:rsidRPr="00A70702">
        <w:rPr>
          <w:rStyle w:val="Strong"/>
          <w:b/>
          <w:bCs w:val="0"/>
        </w:rPr>
        <w:lastRenderedPageBreak/>
        <w:t>II. The Legal Consequences of Listing Defendants on Terrorism Lists – Asset Freezing as a Preventive Measure</w:t>
      </w:r>
      <w:bookmarkEnd w:id="4"/>
    </w:p>
    <w:p w14:paraId="3F1C01E4"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One of the most significant consequences of placing individuals or entities on terrorism lists is the imposition of strict restrictions on their property rights. Under the provisions of the law, such listing automatically leads to the “freezing of funds or other assets owned by the terrorist, whether in full or as a share in joint ownership, along with the proceeds generated from them, or those controlled directly or indirectly, as well as the funds or other assets belonging to persons or entities acting on their behalf.”</w:t>
      </w:r>
    </w:p>
    <w:p w14:paraId="3081603F"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It is noteworthy that this broad expansion of the scope of assets subject to freezing was not stipulated in the original version of the law upon its issuance. The first version of the law, enacted in 2015, was limited to freezing funds directly used in carrying out terrorist activities. However, the amendments introduced in 2020 significantly broadened this scope, granting the Public Prosecutor the authority to order the seizure of funds or assets belonging to individuals or entities not listed on terrorism lists, provided that serious evidence or indicators exist linking those funds to terrorist activities.</w:t>
      </w:r>
    </w:p>
    <w:p w14:paraId="6E56113F"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Based on these amendments, it can be inferred that the Egyptian counterterrorism legal framework does not require a direct or substantial link between frozen assets and terrorist activities. It is sufficient for the assets to be owned by a suspect to justify the imposition of sweeping restrictions on their use, transfer, or any financial transactions involving them. This legal approach reflects clear influence from certain U.S. legislations adopted after the September 11 attacks. Under this model, it is not required that the assets have been used in committing a crime or that they originate from an unlawful source to be subject to restrictions; it is enough that they are owned by an individual suspected of ties to terrorism.</w:t>
      </w:r>
    </w:p>
    <w:p w14:paraId="76E09F36"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Given the political context that has shaped Egypt’s counterterrorism framework, the adoption of such a stringent approach is unsurprising. It is viewed as one of the strictest—and perhaps most arbitrary—legal regimes among contemporary laws imposing restrictions on the right to private property.</w:t>
      </w:r>
    </w:p>
    <w:p w14:paraId="2248C83D"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Although asset freezing may appear to be a less severe restriction on the right to property than outright confiscation, it is nonetheless a measure with profound </w:t>
      </w:r>
      <w:r w:rsidRPr="00C31CA4">
        <w:rPr>
          <w:rFonts w:asciiTheme="minorHAnsi" w:hAnsiTheme="minorHAnsi" w:cstheme="minorHAnsi"/>
          <w:sz w:val="28"/>
          <w:szCs w:val="28"/>
        </w:rPr>
        <w:lastRenderedPageBreak/>
        <w:t>impact on individuals’ lives. The inability to access financial resources or bank accounts poses a major obstacle to living with dignity in a modern society that relies heavily on financial transactions in even the simplest aspects of daily life.</w:t>
      </w:r>
    </w:p>
    <w:p w14:paraId="5D369C1B"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Therefore, asset freezing, which always accompanies listing on terrorism lists, cannot be regarded as a mere coincidence. Rather, the designation of individuals or groups as terrorists represents an explicit rejection by the state of their ideas and actions, aiming to exclude them from both the social and political spheres. In this sense, asset freezing and restrictions on financial use should be understood as more than a preventive measure or even a financial penalty that hinders access to resources; it is a tool employed to sideline specific groups from the political and social fabric, obstructing their participation in democratic activities.</w:t>
      </w:r>
    </w:p>
    <w:p w14:paraId="130FB0BF"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An illustrative example of this in the Egyptian context is that one of the conditions for running in parliamentary elections is the opening of a bank account to deposit campaign funds. For an individual whose assets have been frozen, the inability to open a bank account directly results in exclusion from the electoral process. This highlights the exclusionary effects of asset freezing and restrictions on financial use on other rights, such as the right to stand for election.</w:t>
      </w:r>
    </w:p>
    <w:p w14:paraId="5BFC494E" w14:textId="77777777" w:rsidR="00C31CA4" w:rsidRPr="004F27B2" w:rsidRDefault="00C31CA4" w:rsidP="00A70702">
      <w:pPr>
        <w:pStyle w:val="Heading3"/>
      </w:pPr>
      <w:bookmarkStart w:id="5" w:name="_Toc208859234"/>
      <w:r w:rsidRPr="004F27B2">
        <w:rPr>
          <w:rStyle w:val="Strong"/>
          <w:b/>
          <w:bCs w:val="0"/>
        </w:rPr>
        <w:t>III. The Public Prosecution’s Negligence and Bias in Carrying Out Its Duties During the Investigation Stage</w:t>
      </w:r>
      <w:bookmarkEnd w:id="5"/>
    </w:p>
    <w:p w14:paraId="78951ED5"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As an independent judicial body, the Public Prosecution is vested with a set of powers and authorities under the provisions of the Egyptian Constitution and the Code of Criminal Procedure, with the aim of facilitating the application of the law and achieving justice. The Public Prosecution alone is entrusted with the authority to initiate criminal proceedings, press charges, collect evidence, investigate the facts brought before it, and prepare the case for referral to the competent court.</w:t>
      </w:r>
    </w:p>
    <w:p w14:paraId="0BCCC7FE"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Although the Public Prosecution represents society and acts on its behalf in applying the law with impartiality and without bias or deviation, in light of the ongoing repression of individuals’ fundamental rights and freedoms over the past decade—under the pretext of protecting national security and deterring the spread of violent crimes targeting citizens’ lives and state institutions—it has taken on a prominent role in prosecuting political opponents, journalists, human rights defenders, civil society actors, and members of political parties, throwing them into </w:t>
      </w:r>
      <w:r w:rsidRPr="00C31CA4">
        <w:rPr>
          <w:rFonts w:asciiTheme="minorHAnsi" w:hAnsiTheme="minorHAnsi" w:cstheme="minorHAnsi"/>
          <w:sz w:val="28"/>
          <w:szCs w:val="28"/>
        </w:rPr>
        <w:lastRenderedPageBreak/>
        <w:t>prison in connection with fabricated cases based solely on security agency reports. Since the adoption of the Counter-Terrorism Law No. 95 of 2015, and even earlier the Law on the Regulation of Terrorist Entities and Terrorists No. 8 of 2015, the Public Prosecution has excessively applied these laws, and outside the scope defined by them, against defendants in such cases, with the aim of ensuring their prolonged pretrial detention for as long as possible.</w:t>
      </w:r>
    </w:p>
    <w:p w14:paraId="4A21236E"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The facts of Case No. 1360 of 2019 (Supreme State Security), which is the subject of this report, represent a prime example of the Public Prosecution’s excessive use of counterterrorism legislation for purely political purposes. The charges attributed to the defendants, as explained earlier, were devoid of any acts of violence or harm to others that would warrant the application of counterterrorism laws against them. Most of the defendants were found only in possession of books, money, and leaflets, without the investigative officer clarifying how such items could have been used in committing terrorist crimes, such as financing, joining, or assuming leadership roles within the group. This constitutes an abuse of the Public Prosecution’s authority, aimed at retaliating against political opponents and ensuring the security apparatus maintains control over the public sphere, in violation of both domestic law and international human rights law.</w:t>
      </w:r>
    </w:p>
    <w:p w14:paraId="745909BA"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Among the most notable irregularities and shortcomings in the performance of the Public Prosecution against many of the defendants in the case, including Dr. Amasha, is the deviation of the investigations from the course set by law. A review of the investigation records of all defendants, particularly Dr. Amasha’s file, shows that the prosecution’s questions largely revolved around the defendant’s social, political, and religious background, whether he had engaged in political or religious activities, details about his family members and relatives, and a narration of key milestones in his life from birth until his appearance before the prosecution.</w:t>
      </w:r>
    </w:p>
    <w:p w14:paraId="16D70B73"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It is also notable that the prosecutor did not address the specific nature of the alleged crime committed by the defendant, merely confronting him with charges of joining a terrorist group or assuming a leadership role within it, without presenting any seized evidence or material proof substantiating such claims, apart from written security reports. These investigations, marked by a clear bias toward the security agencies’ narrative, reveal that the Public Prosecution’s decisions in terrorism-related cases—particularly the repeated extension of pretrial detention for lengthy periods—are politically driven. They are not tied to the materiality of </w:t>
      </w:r>
      <w:r w:rsidRPr="00C31CA4">
        <w:rPr>
          <w:rFonts w:asciiTheme="minorHAnsi" w:hAnsiTheme="minorHAnsi" w:cstheme="minorHAnsi"/>
          <w:sz w:val="28"/>
          <w:szCs w:val="28"/>
        </w:rPr>
        <w:lastRenderedPageBreak/>
        <w:t>the alleged criminal act but instead rest primarily on discrimination among individuals based on political, religious, or social affiliation, and on whether the defendant is linked to the Muslim Brotherhood, regardless of whether they engaged in violent acts or not.</w:t>
      </w:r>
    </w:p>
    <w:p w14:paraId="52DEFD63"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This is in addition to the position of law enforcement authorities concerning the release of defendants.</w:t>
      </w:r>
    </w:p>
    <w:p w14:paraId="4FABAB29"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These violations run counter to Egypt’s international obligations under the International Covenant on Civil and Political Rights and the Guidelines on the Role of Prosecutors. Paragraph (13)(a) states:</w:t>
      </w:r>
      <w:r w:rsidRPr="00C31CA4">
        <w:rPr>
          <w:rFonts w:asciiTheme="minorHAnsi" w:hAnsiTheme="minorHAnsi" w:cstheme="minorHAnsi"/>
          <w:sz w:val="28"/>
          <w:szCs w:val="28"/>
        </w:rPr>
        <w:br/>
        <w:t>“Prosecutors shall, in the performance of their duties: (a) Carry out their functions impartially and avoid all forms of political, social, religious, racial, cultural, sexual, or any other kind of discrimination.”</w:t>
      </w:r>
    </w:p>
    <w:p w14:paraId="07D228D4"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Similarly, paragraph (14) prohibits prosecutors from pursuing criminal proceedings and requires them to discontinue a case if an impartial investigation shows that the charge is unfounded.</w:t>
      </w:r>
    </w:p>
    <w:p w14:paraId="2474F3D5"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It should also be noted that the indictment decision issued by the Public Prosecution in the case under review treated the defendants’ statements, including information about their religious and social upbringing and their past connections with the Muslim Brotherhood or participation in political activities, as confessions of membership in that group. On this basis, they were deemed to warrant exclusion from society and subject to criminal punishment.</w:t>
      </w:r>
    </w:p>
    <w:p w14:paraId="35BAE94D"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The Monitoring Team considers that these fundamental shifts in the role of the Public Prosecution have transformed this crucial body into a tool of the executive authority, enabling it to lend procedural legitimacy to the detention of more individuals on the basis of their political opinions, beliefs, or positions—contrary to the law and to all international human rights treaties to which Egypt is a party and by which it is bound.</w:t>
      </w:r>
    </w:p>
    <w:p w14:paraId="5E950E48"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Moreover, during the investigation stage, the Public Prosecution ignored the need to open an inquiry into what several defendants, including Dr. Amasha, testified—namely, that he was subjected to enforced disappearance in a police facility for 25 days before being presented to the prosecution. This was despite the official arrest report stating that Dr. Amasha had been arrested on 10 July 2020, which </w:t>
      </w:r>
      <w:r w:rsidRPr="00C31CA4">
        <w:rPr>
          <w:rFonts w:asciiTheme="minorHAnsi" w:hAnsiTheme="minorHAnsi" w:cstheme="minorHAnsi"/>
          <w:sz w:val="28"/>
          <w:szCs w:val="28"/>
        </w:rPr>
        <w:lastRenderedPageBreak/>
        <w:t>contradicts the facts, since Dr. Amasha himself stated that he had been arrested on 16 June 2020.</w:t>
      </w:r>
    </w:p>
    <w:p w14:paraId="1751BBCC"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This is in addition to the complaint previously submitted by his son to the Public Prosecutor, which recorded that he was interrogated by officers of the National Security Sector under torture and humiliation. The Public Prosecution also failed to investigate the torture he endured during his period of enforced disappearance.</w:t>
      </w:r>
    </w:p>
    <w:p w14:paraId="359E3A35"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This contravenes the provisions of the Convention against Torture and Other Cruel, Inhuman or Degrading Treatment or Punishment, ratified by Egypt in 1986. Articles 11 and 12 of the Convention require prompt investigations where there are reasonable grounds to believe that an act of torture has been committed against a defendant.</w:t>
      </w:r>
    </w:p>
    <w:p w14:paraId="122BC678"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It also violates the victim’s right to lodge complaints about prohibited ill-treatment, under Article 7 of the International Covenant on Civil and Political Rights, which prohibits all forms of torture. In its General </w:t>
      </w:r>
      <w:proofErr w:type="gramStart"/>
      <w:r w:rsidRPr="00C31CA4">
        <w:rPr>
          <w:rFonts w:asciiTheme="minorHAnsi" w:hAnsiTheme="minorHAnsi" w:cstheme="minorHAnsi"/>
          <w:sz w:val="28"/>
          <w:szCs w:val="28"/>
        </w:rPr>
        <w:t>Comment interpreting</w:t>
      </w:r>
      <w:proofErr w:type="gramEnd"/>
      <w:r w:rsidRPr="00C31CA4">
        <w:rPr>
          <w:rFonts w:asciiTheme="minorHAnsi" w:hAnsiTheme="minorHAnsi" w:cstheme="minorHAnsi"/>
          <w:sz w:val="28"/>
          <w:szCs w:val="28"/>
        </w:rPr>
        <w:t xml:space="preserve"> this article, the Committee stressed the obligation of competent authorities to investigate complaints promptly and impartially, to make remedies effective. States may not deprive individuals of access to effective remedies, including the right to obtain compensation and full rehabilitation.</w:t>
      </w:r>
    </w:p>
    <w:p w14:paraId="34699A73"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Accordingly, the Public Prosecution was under a duty to open an immediate investigation into the allegations against law enforcement officers and National Security officers regarding the unlawful detention and torture of Defendant (34) and others held in connection with the case.</w:t>
      </w:r>
    </w:p>
    <w:p w14:paraId="5256F1BD"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The prosecution’s bias is further evident in its repeated disregard for all requests submitted by the defendants’ lawyers during the investigation stage and up until the referral of the case to the competent court. The Public Prosecution deprived the defense of access to case files and of obtaining copies of the case documents at all stages.</w:t>
      </w:r>
    </w:p>
    <w:p w14:paraId="6C84AFD5" w14:textId="77777777" w:rsidR="00C31CA4" w:rsidRPr="00C31CA4" w:rsidRDefault="00C31CA4" w:rsidP="00C31CA4">
      <w:pPr>
        <w:pStyle w:val="NormalWeb"/>
        <w:jc w:val="lowKashida"/>
        <w:rPr>
          <w:rFonts w:asciiTheme="minorHAnsi" w:hAnsiTheme="minorHAnsi" w:cstheme="minorHAnsi"/>
          <w:sz w:val="28"/>
          <w:szCs w:val="28"/>
          <w:rtl/>
        </w:rPr>
      </w:pPr>
      <w:r w:rsidRPr="00C31CA4">
        <w:rPr>
          <w:rFonts w:asciiTheme="minorHAnsi" w:hAnsiTheme="minorHAnsi" w:cstheme="minorHAnsi"/>
          <w:sz w:val="28"/>
          <w:szCs w:val="28"/>
        </w:rPr>
        <w:t>It also rejected the request of Defendant (34)’s lawyer, Dr. Amasha, to have him examined by a tripartite medical committee to document the injuries caused by torture, opting instead for a forensic medical examination. This constitutes a violation of the right to defense, which is guaranteed under all international conventions and treaties.</w:t>
      </w:r>
    </w:p>
    <w:p w14:paraId="395A65DB" w14:textId="77777777" w:rsidR="00C31CA4" w:rsidRPr="004F27B2" w:rsidRDefault="00C31CA4" w:rsidP="00A70702">
      <w:pPr>
        <w:pStyle w:val="Heading1"/>
        <w:bidi w:val="0"/>
        <w:rPr>
          <w:rtl/>
        </w:rPr>
      </w:pPr>
      <w:bookmarkStart w:id="6" w:name="_Toc208859235"/>
      <w:r w:rsidRPr="004F27B2">
        <w:rPr>
          <w:rStyle w:val="Strong"/>
          <w:b/>
          <w:bCs/>
        </w:rPr>
        <w:lastRenderedPageBreak/>
        <w:t>Fourth: Violations of the Pre-Trial Stage</w:t>
      </w:r>
      <w:bookmarkEnd w:id="6"/>
    </w:p>
    <w:p w14:paraId="5C02568D" w14:textId="77777777" w:rsidR="00C31CA4" w:rsidRPr="00C31CA4" w:rsidRDefault="00C31CA4" w:rsidP="00C31CA4">
      <w:pPr>
        <w:pStyle w:val="NormalWeb"/>
        <w:jc w:val="lowKashida"/>
        <w:rPr>
          <w:rFonts w:asciiTheme="minorHAnsi" w:eastAsiaTheme="majorEastAsia" w:hAnsiTheme="minorHAnsi" w:cstheme="minorHAnsi"/>
          <w:sz w:val="28"/>
          <w:szCs w:val="28"/>
        </w:rPr>
      </w:pPr>
      <w:r w:rsidRPr="00C31CA4">
        <w:rPr>
          <w:rFonts w:asciiTheme="minorHAnsi" w:hAnsiTheme="minorHAnsi" w:cstheme="minorHAnsi"/>
          <w:sz w:val="28"/>
          <w:szCs w:val="28"/>
        </w:rPr>
        <w:t xml:space="preserve">The pre-trial procedures in the case under review witnessed numerous violations and abuses that have come to be used routinely, almost </w:t>
      </w:r>
      <w:proofErr w:type="gramStart"/>
      <w:r w:rsidRPr="00C31CA4">
        <w:rPr>
          <w:rFonts w:asciiTheme="minorHAnsi" w:hAnsiTheme="minorHAnsi" w:cstheme="minorHAnsi"/>
          <w:sz w:val="28"/>
          <w:szCs w:val="28"/>
        </w:rPr>
        <w:t>on a daily basis</w:t>
      </w:r>
      <w:proofErr w:type="gramEnd"/>
      <w:r w:rsidRPr="00C31CA4">
        <w:rPr>
          <w:rFonts w:asciiTheme="minorHAnsi" w:hAnsiTheme="minorHAnsi" w:cstheme="minorHAnsi"/>
          <w:sz w:val="28"/>
          <w:szCs w:val="28"/>
        </w:rPr>
        <w:t>, against anyone accused by the Egyptian authorities of committing one of the offenses set out in the Counter-Terrorism Law No. 94 of 2015 and its subsequent amendments since its enactment.</w:t>
      </w:r>
    </w:p>
    <w:p w14:paraId="60BF50D0"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All the defendants, without exception—including Dr. Ahmed Amasha, Defendant No. (34) in Case No. 1360 of 2019 (State Security Prosecution)—were subjected to a long list of assaults and violations that undermined the legitimacy of the trial in all its stages, thereby eroding all legal principles of fair trial guaranteed under international human rights law and Egyptian national legislation.</w:t>
      </w:r>
    </w:p>
    <w:p w14:paraId="268C237D"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Some of these violations were committed by law enforcement forces of the Ministry of Interior before the defendants were brought before the competent investigative authorities, while others occurred under the supervision of the Public Prosecution, despite its mandate as an independent investigative authority required to act with impartiality and fairness.</w:t>
      </w:r>
    </w:p>
    <w:p w14:paraId="693A49C6"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These violations demonstrate that none of the defendants in the case under review enjoyed any of the safeguards of a fair trial. On the contrary, </w:t>
      </w:r>
      <w:proofErr w:type="gramStart"/>
      <w:r w:rsidRPr="00C31CA4">
        <w:rPr>
          <w:rFonts w:asciiTheme="minorHAnsi" w:hAnsiTheme="minorHAnsi" w:cstheme="minorHAnsi"/>
          <w:sz w:val="28"/>
          <w:szCs w:val="28"/>
        </w:rPr>
        <w:t>the pre</w:t>
      </w:r>
      <w:proofErr w:type="gramEnd"/>
      <w:r w:rsidRPr="00C31CA4">
        <w:rPr>
          <w:rFonts w:asciiTheme="minorHAnsi" w:hAnsiTheme="minorHAnsi" w:cstheme="minorHAnsi"/>
          <w:sz w:val="28"/>
          <w:szCs w:val="28"/>
        </w:rPr>
        <w:t>-trial procedures placed their lives at risk in the absence of any legal accountability for those responsible for such abuses.</w:t>
      </w:r>
    </w:p>
    <w:p w14:paraId="7C2D2930"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The report highlights the case of former unionist Dr. Ahmed Amasha as an illustrative example reflecting the legal position of all defendants in the case. Over more than two years of prolonged pre-trial detention, all the defendants, including Amasha, endured a long series of arbitrary and unlawful measures that violated a wide range of fundamental rights and freedoms—most notably the right to personal liberty and the presumption of innocence, which is a cornerstone of the criminal justice system and the very essence of the right to a fair trial.</w:t>
      </w:r>
    </w:p>
    <w:p w14:paraId="6B9204BB"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At the same time, Dr. Amasha was subjected to enforced disappearance, as well as to all forms of torture—both physical and psychological—aimed at extracting confessions and coercing him into admitting membership in a terrorist group and assisting in the promotion of its ideas.</w:t>
      </w:r>
    </w:p>
    <w:p w14:paraId="5BCC6228"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lastRenderedPageBreak/>
        <w:t>He was also subjected, on two consecutive occasions, to extended periods of pre-trial detention that exceeded the legal limits set forth in the Egyptian Code of Criminal Procedure, based on vague and overly broad charges unsupported by objective evidence.</w:t>
      </w:r>
    </w:p>
    <w:p w14:paraId="4ADE8BD8"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Accordingly, it can be said that the pre-trial stage was devoid of even the most basic guarantees of due process, which had a profoundly negative impact on the defendants’ position and their right to a fair trial. The report outlines the most significant of these violations in the following sections:</w:t>
      </w:r>
    </w:p>
    <w:p w14:paraId="56A7CC36" w14:textId="77777777" w:rsidR="00C31CA4" w:rsidRPr="004F27B2" w:rsidRDefault="00C31CA4" w:rsidP="00A70702">
      <w:pPr>
        <w:pStyle w:val="Heading3"/>
      </w:pPr>
      <w:bookmarkStart w:id="7" w:name="_Toc208859236"/>
      <w:r w:rsidRPr="004F27B2">
        <w:rPr>
          <w:rStyle w:val="Strong"/>
          <w:b/>
          <w:bCs w:val="0"/>
        </w:rPr>
        <w:t>1- The Public Prosecution’s Failure and Bias During the Investigative Stage</w:t>
      </w:r>
      <w:bookmarkEnd w:id="7"/>
    </w:p>
    <w:p w14:paraId="7E521F49"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The Public Prosecution, as an independent judicial authority, enjoys a range of powers and prerogatives under the provisions of the Egyptian Constitution and the Code of Criminal Procedure, with the aim of facilitating the application of the law and ensuring justice. The Prosecution alone holds the authority to initiate criminal proceedings, press charges, collect evidence, investigate the facts before it, and prepare and </w:t>
      </w:r>
      <w:proofErr w:type="gramStart"/>
      <w:r w:rsidRPr="00C31CA4">
        <w:rPr>
          <w:rFonts w:asciiTheme="minorHAnsi" w:hAnsiTheme="minorHAnsi" w:cstheme="minorHAnsi"/>
          <w:sz w:val="28"/>
          <w:szCs w:val="28"/>
        </w:rPr>
        <w:t>refer</w:t>
      </w:r>
      <w:proofErr w:type="gramEnd"/>
      <w:r w:rsidRPr="00C31CA4">
        <w:rPr>
          <w:rFonts w:asciiTheme="minorHAnsi" w:hAnsiTheme="minorHAnsi" w:cstheme="minorHAnsi"/>
          <w:sz w:val="28"/>
          <w:szCs w:val="28"/>
        </w:rPr>
        <w:t xml:space="preserve"> cases to the competent court.</w:t>
      </w:r>
    </w:p>
    <w:p w14:paraId="2F873466"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Although the Public Prosecution represents society and acts on its behalf in applying the law impartially and without bias or deviation, in light of the persistent repression of fundamental rights and freedoms over the past decade—under the pretext of protecting national security and deterring the spread of violent crimes targeting citizens’ lives and state institutions—the Prosecution has played a notable role in pursuing political opponents, journalists, human rights defenders, civil society actors, and members of political parties, consigning them to prison in fabricated cases based solely on security service investigations.</w:t>
      </w:r>
    </w:p>
    <w:p w14:paraId="70F1F0B6"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Since the enactment of the Counter-Terrorism Law No. 95 of 2015, and before it the Law on the Regulation of Terrorist Entities and Terrorists Lists No. 8 of 2015, the Public Prosecution has increasingly misapplied the provisions of these laws beyond the circumstances specified by law, using them excessively against defendants in such fabricated cases in order to ensure their continued pre-trial detention for as long as possible.</w:t>
      </w:r>
    </w:p>
    <w:p w14:paraId="0CAC7726"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The proceedings in Case No. 1360 of 2019 (State Security Prosecution)—the subject of this report—constitute a prime example of the Prosecution’s excessive use of counter-terrorism legislation for purely political purposes. The acts attributed to </w:t>
      </w:r>
      <w:r w:rsidRPr="00C31CA4">
        <w:rPr>
          <w:rFonts w:asciiTheme="minorHAnsi" w:hAnsiTheme="minorHAnsi" w:cstheme="minorHAnsi"/>
          <w:sz w:val="28"/>
          <w:szCs w:val="28"/>
        </w:rPr>
        <w:lastRenderedPageBreak/>
        <w:t xml:space="preserve">the defendants, as explained earlier, were devoid of any violent conduct or harm to others that would justify the application of counter-terrorism laws. In most instances, the only items seized </w:t>
      </w:r>
      <w:proofErr w:type="gramStart"/>
      <w:r w:rsidRPr="00C31CA4">
        <w:rPr>
          <w:rFonts w:asciiTheme="minorHAnsi" w:hAnsiTheme="minorHAnsi" w:cstheme="minorHAnsi"/>
          <w:sz w:val="28"/>
          <w:szCs w:val="28"/>
        </w:rPr>
        <w:t>from</w:t>
      </w:r>
      <w:proofErr w:type="gramEnd"/>
      <w:r w:rsidRPr="00C31CA4">
        <w:rPr>
          <w:rFonts w:asciiTheme="minorHAnsi" w:hAnsiTheme="minorHAnsi" w:cstheme="minorHAnsi"/>
          <w:sz w:val="28"/>
          <w:szCs w:val="28"/>
        </w:rPr>
        <w:t xml:space="preserve"> the defendants were books, money, and leaflets. The investigation reports did not clarify how such items could have been used to commit terrorist offenses such as financing, membership, or assuming leadership within a group. This amounts to an abuse of prosecutorial power, aimed at punishing political opponents and ensuring security services’ control over the public sphere, in violation of the law and of international human rights standards.</w:t>
      </w:r>
    </w:p>
    <w:p w14:paraId="4F639830"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Among the most striking shortcomings and violations in the Prosecution’s handling of many defendants in this case, including Dr. Amasha, is the deviation of the investigations from the legal framework. A review of the interrogation records of all defendants—particularly Amasha’s </w:t>
      </w:r>
      <w:proofErr w:type="gramStart"/>
      <w:r w:rsidRPr="00C31CA4">
        <w:rPr>
          <w:rFonts w:asciiTheme="minorHAnsi" w:hAnsiTheme="minorHAnsi" w:cstheme="minorHAnsi"/>
          <w:sz w:val="28"/>
          <w:szCs w:val="28"/>
        </w:rPr>
        <w:t>file—</w:t>
      </w:r>
      <w:proofErr w:type="gramEnd"/>
      <w:r w:rsidRPr="00C31CA4">
        <w:rPr>
          <w:rFonts w:asciiTheme="minorHAnsi" w:hAnsiTheme="minorHAnsi" w:cstheme="minorHAnsi"/>
          <w:sz w:val="28"/>
          <w:szCs w:val="28"/>
        </w:rPr>
        <w:t>shows that the prosecutor’s questions centered largely on the defendant’s social, political, and religious background; whether he had engaged in political or religious activities; his family’s personal details; and a chronological account of the main events of his life from birth up to his appearance before the Prosecution. Notably, the prosecutor did not address the nature of the alleged criminal act, confronting him only with accusations of membership in, or leadership of, a terrorist group—without presenting him with any material evidence or exhibits substantiating such allegations, apart from the desk-based investigation reports.</w:t>
      </w:r>
    </w:p>
    <w:p w14:paraId="3AD249CC"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These investigations, marked by a clear bias towards the narrative of the security services, reveal that the Prosecution’s decisions in terrorism-related cases to extend pre-trial detention for long periods are politically driven rather than based on the materiality of a criminal act. They rely primarily on discriminatory considerations relating to political, religious, or social affiliation, and on whether the defendant was connected to the Muslim Brotherhood, regardless of whether he had engaged in acts of violence. This is compounded by law enforcement authorities’ restrictive stance on releasing defendants.</w:t>
      </w:r>
    </w:p>
    <w:p w14:paraId="3065E137" w14:textId="77777777" w:rsidR="00C31CA4" w:rsidRPr="00C31CA4" w:rsidRDefault="00C31CA4" w:rsidP="00C31CA4">
      <w:pPr>
        <w:pStyle w:val="NormalWeb"/>
        <w:jc w:val="lowKashida"/>
        <w:rPr>
          <w:rFonts w:asciiTheme="minorHAnsi" w:hAnsiTheme="minorHAnsi" w:cstheme="minorHAnsi"/>
          <w:sz w:val="28"/>
          <w:szCs w:val="28"/>
          <w:rtl/>
        </w:rPr>
      </w:pPr>
      <w:r w:rsidRPr="00C31CA4">
        <w:rPr>
          <w:rFonts w:asciiTheme="minorHAnsi" w:hAnsiTheme="minorHAnsi" w:cstheme="minorHAnsi"/>
          <w:sz w:val="28"/>
          <w:szCs w:val="28"/>
        </w:rPr>
        <w:t>Such practices run counter to Egypt’s international obligations under the International Covenant on Civil and Political Rights (ICCPR) and the UN Guidelines on the Role of Prosecutors. Paragraph 13 (a) of the Guidelines explicitly states:</w:t>
      </w:r>
    </w:p>
    <w:p w14:paraId="4F7DC71B"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lastRenderedPageBreak/>
        <w:t>“Prosecutors shall, in the performance of their duties: (a) carry out their functions impartially and avoid all political, social, religious, racial, cultural, sexual, or any other kind of discrimination.”</w:t>
      </w:r>
    </w:p>
    <w:p w14:paraId="274C45A1"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Paragraph (14) also stipulates the prohibition of continuing criminal prosecution, and the necessity of halting proceedings if an impartial investigation reveals that the charge is unfounded. It is also worth noting that the indictment order issued by the Public Prosecution in the case under review treated the defendants’ statements regarding their religious and social upbringing, their relations with the Muslim Brotherhood, or their past participation in political activities, as confessions of membership in that proscribed group—thereby justifying their isolation from society and subjecting them to criminal punishment. The monitoring team considers these fundamental transformations within the Public Prosecution to have effectively turned this vital institution into a tool in the hands of the executive authority, enabling it to confer procedural legitimacy on the detention of more individuals for their political opinions, beliefs, or positions, in violation of both the law and all international human rights treaties ratified and binding upon Egypt.</w:t>
      </w:r>
    </w:p>
    <w:p w14:paraId="3417FDC4"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On another level, during the investigation stage the Public Prosecution ignored the need to open inquiries into the statements of many defendants in the case—including Dr. Amasha—that they had been subjected to enforced disappearance in a police facility for 25 days before being brought before the Prosecution. They reported being interrogated by National Security officers under torture and degrading treatment. The Prosecution failed to investigate the allegations that Amasha was subjected to torture during his enforced disappearance, in contravention of the provisions of the Convention against Torture and Other Cruel, Inhuman or Degrading Treatment or Punishment, ratified by Egypt in 1986. Articles 11 and 12 of the Convention require prompt investigations wherever there are reasonable grounds to believe that an act of torture has been committed against a suspect. This also violates the right of victims to file complaints about ill-treatment, prohibited under Article 7 of the International Covenant on Civil and Political Rights, which forbids all forms of torture. The Human Rights Committee, in its General Comment on this article, has emphasized the obligation of competent authorities to investigate complaints promptly and impartially, </w:t>
      </w:r>
      <w:proofErr w:type="gramStart"/>
      <w:r w:rsidRPr="00C31CA4">
        <w:rPr>
          <w:rFonts w:asciiTheme="minorHAnsi" w:hAnsiTheme="minorHAnsi" w:cstheme="minorHAnsi"/>
          <w:sz w:val="28"/>
          <w:szCs w:val="28"/>
        </w:rPr>
        <w:t>so as to</w:t>
      </w:r>
      <w:proofErr w:type="gramEnd"/>
      <w:r w:rsidRPr="00C31CA4">
        <w:rPr>
          <w:rFonts w:asciiTheme="minorHAnsi" w:hAnsiTheme="minorHAnsi" w:cstheme="minorHAnsi"/>
          <w:sz w:val="28"/>
          <w:szCs w:val="28"/>
        </w:rPr>
        <w:t xml:space="preserve"> render the remedy effective. States must not deprive individuals of access to effective remedies, including compensation and full rehabilitation to the greatest extent possible.</w:t>
      </w:r>
    </w:p>
    <w:p w14:paraId="176F1E99"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lastRenderedPageBreak/>
        <w:t xml:space="preserve">Accordingly, it was the duty of the Public Prosecution to immediately investigate the allegations made against law enforcement officers and National Security agents regarding the unlawful detention of </w:t>
      </w:r>
      <w:proofErr w:type="gramStart"/>
      <w:r w:rsidRPr="00C31CA4">
        <w:rPr>
          <w:rFonts w:asciiTheme="minorHAnsi" w:hAnsiTheme="minorHAnsi" w:cstheme="minorHAnsi"/>
          <w:sz w:val="28"/>
          <w:szCs w:val="28"/>
        </w:rPr>
        <w:t>defendant</w:t>
      </w:r>
      <w:proofErr w:type="gramEnd"/>
      <w:r w:rsidRPr="00C31CA4">
        <w:rPr>
          <w:rFonts w:asciiTheme="minorHAnsi" w:hAnsiTheme="minorHAnsi" w:cstheme="minorHAnsi"/>
          <w:sz w:val="28"/>
          <w:szCs w:val="28"/>
        </w:rPr>
        <w:t xml:space="preserve"> (34) and other defendants in the case, and their subjection to torture and degrading treatment.</w:t>
      </w:r>
    </w:p>
    <w:p w14:paraId="1CF5979F"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The Prosecution’s bias in handling the case is also evident in its repeated disregard of all requests submitted by the defendants’ lawyers throughout the investigation stage and up until the referral of the case to court. Defense representatives were denied access to the case files and prevented from obtaining copies of the dossier at every stage. Furthermore, the request made by the lawyer of defendant (34), Dr. Amasha, to have him examined by a tripartite medical committee to assess the injuries sustained from torture, was rejected. Instead, the Prosecution limited the examination to the forensic authority—constituting a violation of the principle of the right to defense, which is guaranteed by all international covenants and treaties.</w:t>
      </w:r>
    </w:p>
    <w:p w14:paraId="14C65F8B" w14:textId="77777777" w:rsidR="00C31CA4" w:rsidRPr="004F27B2" w:rsidRDefault="00C31CA4" w:rsidP="00A70702">
      <w:pPr>
        <w:pStyle w:val="Heading3"/>
      </w:pPr>
      <w:bookmarkStart w:id="8" w:name="_Toc208859237"/>
      <w:r w:rsidRPr="004F27B2">
        <w:rPr>
          <w:rStyle w:val="Strong"/>
          <w:b/>
          <w:bCs w:val="0"/>
        </w:rPr>
        <w:t>2. The Crime of Enforced Disappearance and the Violation of the Right to Protection from Arbitrary Detention</w:t>
      </w:r>
      <w:bookmarkEnd w:id="8"/>
    </w:p>
    <w:p w14:paraId="194C147E"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Under international law, the practice of enforced disappearance constitutes a grave violation of several fundamental human rights, including the rights to life, liberty, and personal security, as well as the right not to be subjected to torture or to cruel, inhuman, or degrading treatment. Owing to the severity of such violations, which threaten a broad range of rights and freedoms, Article 1 of the International Convention for the Protection of All Persons from Enforced Disappearance expressly provides that no one shall be subjected to enforced disappearance under any circumstances, whether in situations of war, internal political instability, or the declaration of states of emergency and exceptional laws.</w:t>
      </w:r>
    </w:p>
    <w:p w14:paraId="16BAD3B5" w14:textId="77777777" w:rsidR="00C31CA4" w:rsidRPr="00C31CA4" w:rsidRDefault="00C31CA4" w:rsidP="00C31CA4">
      <w:pPr>
        <w:pStyle w:val="NormalWeb"/>
        <w:jc w:val="lowKashida"/>
        <w:rPr>
          <w:rFonts w:asciiTheme="minorHAnsi" w:hAnsiTheme="minorHAnsi" w:cstheme="minorHAnsi"/>
          <w:sz w:val="28"/>
          <w:szCs w:val="28"/>
          <w:rtl/>
        </w:rPr>
      </w:pPr>
      <w:r w:rsidRPr="00C31CA4">
        <w:rPr>
          <w:rFonts w:asciiTheme="minorHAnsi" w:hAnsiTheme="minorHAnsi" w:cstheme="minorHAnsi"/>
          <w:sz w:val="28"/>
          <w:szCs w:val="28"/>
        </w:rPr>
        <w:t>The Convention further obliges State parties to criminalize enforced disappearance under their domestic legislation, in line with the definition contained in Article 2, which describes the crime as:</w:t>
      </w:r>
    </w:p>
    <w:p w14:paraId="1858877F"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“the arrest, detention, abduction, or any other form of deprivation of liberty by agents of the State, or by persons or groups of persons acting with the authorization, support, or acquiescence of the State, followed by a refusal to acknowledge the deprivation of liberty or by concealment of the fate or </w:t>
      </w:r>
      <w:r w:rsidRPr="00C31CA4">
        <w:rPr>
          <w:rFonts w:asciiTheme="minorHAnsi" w:hAnsiTheme="minorHAnsi" w:cstheme="minorHAnsi"/>
          <w:sz w:val="28"/>
          <w:szCs w:val="28"/>
        </w:rPr>
        <w:lastRenderedPageBreak/>
        <w:t>whereabouts of the disappeared person, thereby placing such a person outside the protection of the law.”</w:t>
      </w:r>
    </w:p>
    <w:p w14:paraId="1752C438"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According to the Convention, enforced disappearance falls within the category of crimes against humanity, owing to the nature of the threats victims face during the period of disappearance—ranging from torture and coerced confessions to being held outside the protection of the law—thereby heightening the risk to their lives. Victims are also cut off from the outside world, with a significant risk that they may never return alive.</w:t>
      </w:r>
    </w:p>
    <w:p w14:paraId="5D3E4AD8" w14:textId="77777777" w:rsidR="00C31CA4" w:rsidRPr="00C31CA4" w:rsidRDefault="00C31CA4" w:rsidP="00C31CA4">
      <w:pPr>
        <w:pStyle w:val="NormalWeb"/>
        <w:jc w:val="lowKashida"/>
        <w:rPr>
          <w:rFonts w:asciiTheme="minorHAnsi" w:hAnsiTheme="minorHAnsi" w:cstheme="minorHAnsi"/>
          <w:sz w:val="28"/>
          <w:szCs w:val="28"/>
          <w:rtl/>
        </w:rPr>
      </w:pPr>
      <w:r w:rsidRPr="00C31CA4">
        <w:rPr>
          <w:rFonts w:asciiTheme="minorHAnsi" w:hAnsiTheme="minorHAnsi" w:cstheme="minorHAnsi"/>
          <w:sz w:val="28"/>
          <w:szCs w:val="28"/>
        </w:rPr>
        <w:t>In practice, however, the Egyptian government is not a party to the International Convention for the Protection of All Persons from Enforced Disappearance, adopted by the United Nations in 2006 and in force since 2010. Moreover, Egyptian legislators have not defined enforced disappearance nor recognized it as a crime under the Penal Code. Instead, the law merely criminalizes unlawful detention under Article 280 of the Egyptian Penal Code, which provides:</w:t>
      </w:r>
    </w:p>
    <w:p w14:paraId="39CA2AA5"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“Anyone who seizes, imprisons, or detains a person without an order from the competent authority, and outside the cases in which laws and regulations permit the arrest of suspects, shall be punished by imprisonment or a fine not exceeding two hundred Egyptian pounds.”</w:t>
      </w:r>
    </w:p>
    <w:p w14:paraId="1BD2BE2E"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This provision differs significantly from the crime of enforced disappearance as defined by the Convention and fails to reflect the actual experiences of those arbitrarily detained in Egyptian facilities. The principal difference is that unlawful detention, as defined under Egyptian law, is typically carried out by law enforcement personnel acting under recognized authority, which means that judicial and administrative bodies of the State remain aware of the suspect’s detention and whereabouts. In contrast, enforced disappearance leaves the detainee outside the protection of the law, with the State and its agencies denying knowledge of the person’s detention or whereabouts, rendering the individual effectively “missing” and of unknown fate to their family.</w:t>
      </w:r>
    </w:p>
    <w:p w14:paraId="7ED6B410"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In the Egyptian context, enforced disappearance has developed from isolated cases into a systematic practice used against individuals accused in terrorism-related cases. Typically, individuals are arrested without being presented with a legal warrant and taken to facilities under the Ministry of Interior, where they are interrogated and coerced into confessions through torture and intimidation before </w:t>
      </w:r>
      <w:r w:rsidRPr="00C31CA4">
        <w:rPr>
          <w:rFonts w:asciiTheme="minorHAnsi" w:hAnsiTheme="minorHAnsi" w:cstheme="minorHAnsi"/>
          <w:sz w:val="28"/>
          <w:szCs w:val="28"/>
        </w:rPr>
        <w:lastRenderedPageBreak/>
        <w:t xml:space="preserve">being referred to the Public Prosecution. Provisions of the Anti-Terrorism Law—particularly Article 40—have granted a veneer of legality to this practice. This article empowers law enforcement officers, in cases of terrorist threats and </w:t>
      </w:r>
      <w:proofErr w:type="gramStart"/>
      <w:r w:rsidRPr="00C31CA4">
        <w:rPr>
          <w:rFonts w:asciiTheme="minorHAnsi" w:hAnsiTheme="minorHAnsi" w:cstheme="minorHAnsi"/>
          <w:sz w:val="28"/>
          <w:szCs w:val="28"/>
        </w:rPr>
        <w:t>where</w:t>
      </w:r>
      <w:proofErr w:type="gramEnd"/>
      <w:r w:rsidRPr="00C31CA4">
        <w:rPr>
          <w:rFonts w:asciiTheme="minorHAnsi" w:hAnsiTheme="minorHAnsi" w:cstheme="minorHAnsi"/>
          <w:sz w:val="28"/>
          <w:szCs w:val="28"/>
        </w:rPr>
        <w:t xml:space="preserve"> deemed necessary, to collect evidence and detain suspects for up to 24 hours before presenting them to the Public Prosecution. It further authorizes, through vague and broadly framed language, the Public Prosecution or other investigative authorities (without specifying which body) to extend the detention for 14 days, renewable by order of the Public Prosecutor.</w:t>
      </w:r>
    </w:p>
    <w:p w14:paraId="0DC6C359"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Article 43 of the same law also grants the Public Prosecution or investigative authorities the powers of an investigative judge and of the Misdemeanor Appeals Court in chambers, within the limits and durations specified under Article 143 of the Code of Criminal Procedure relating to pretrial detention. These broad and ambiguous provisions have enabled security agencies to exploit their powers against individuals accused in terrorism cases, resulting in increased cases of enforced disappearance and arbitrary detention without legal basis.</w:t>
      </w:r>
    </w:p>
    <w:p w14:paraId="1D40F8CA"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Over the past years, the Egyptian government has consistently denied the existence of enforced disappearance within police facilities—either by prosecuting those who publish information about the number of disappeared persons, or by claiming that the Egyptian legal system does not recognize enforced disappearance as a crime, and therefore it does not exist in the Egyptian context.</w:t>
      </w:r>
    </w:p>
    <w:p w14:paraId="60950D7C"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Yet, in the case under review—and particularly in relation to defendant (34), Dr. Amasha—it becomes clear, as recorded in the investigation files, that he was subjected to an extended period of enforced disappearance inside a police facility. Dr. Amasha stated during interrogation that he had been arrested by security forces on 16 June 2020 and taken to an undisclosed location, where he remained disappeared for 25 days before being brought before the Public Prosecution on 12 July 2020. During this period, his family lost all contact with him and could not determine his whereabouts. His defense team and his son filed a complaint with the Public Prosecutor under No. 25653 of 2020 (Public Prosecutor Petitions), confirming his arrest from his residence in the </w:t>
      </w:r>
      <w:proofErr w:type="spellStart"/>
      <w:r w:rsidRPr="00C31CA4">
        <w:rPr>
          <w:rFonts w:asciiTheme="minorHAnsi" w:hAnsiTheme="minorHAnsi" w:cstheme="minorHAnsi"/>
          <w:sz w:val="28"/>
          <w:szCs w:val="28"/>
        </w:rPr>
        <w:t>Hadayek</w:t>
      </w:r>
      <w:proofErr w:type="spellEnd"/>
      <w:r w:rsidRPr="00C31CA4">
        <w:rPr>
          <w:rFonts w:asciiTheme="minorHAnsi" w:hAnsiTheme="minorHAnsi" w:cstheme="minorHAnsi"/>
          <w:sz w:val="28"/>
          <w:szCs w:val="28"/>
        </w:rPr>
        <w:t xml:space="preserve"> Helwan district and requesting a formal investigation, including tracking his mobile phone, securing and reviewing surveillance camera footage, and gathering evidence regarding the incident.</w:t>
      </w:r>
    </w:p>
    <w:p w14:paraId="51333F6A"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lastRenderedPageBreak/>
        <w:t xml:space="preserve">It should also be noted that this was not the first time Dr. Amasha had been subjected to </w:t>
      </w:r>
      <w:proofErr w:type="gramStart"/>
      <w:r w:rsidRPr="00C31CA4">
        <w:rPr>
          <w:rFonts w:asciiTheme="minorHAnsi" w:hAnsiTheme="minorHAnsi" w:cstheme="minorHAnsi"/>
          <w:sz w:val="28"/>
          <w:szCs w:val="28"/>
        </w:rPr>
        <w:t>enforced</w:t>
      </w:r>
      <w:proofErr w:type="gramEnd"/>
      <w:r w:rsidRPr="00C31CA4">
        <w:rPr>
          <w:rFonts w:asciiTheme="minorHAnsi" w:hAnsiTheme="minorHAnsi" w:cstheme="minorHAnsi"/>
          <w:sz w:val="28"/>
          <w:szCs w:val="28"/>
        </w:rPr>
        <w:t xml:space="preserve"> disappearance and arbitrary detention. In 2017, he was previously arrested by security forces and held unlawfully for 21 days before being presented to the Public Prosecution for investigation.</w:t>
      </w:r>
    </w:p>
    <w:p w14:paraId="36149887" w14:textId="77777777" w:rsidR="00C31CA4" w:rsidRPr="004F27B2" w:rsidRDefault="00C31CA4" w:rsidP="00A70702">
      <w:pPr>
        <w:pStyle w:val="Heading3"/>
      </w:pPr>
      <w:bookmarkStart w:id="9" w:name="_Toc208859238"/>
      <w:r w:rsidRPr="004F27B2">
        <w:rPr>
          <w:rStyle w:val="Strong"/>
          <w:b/>
          <w:bCs w:val="0"/>
        </w:rPr>
        <w:t>(b) Prolonged Pretrial Detention and the Violation of the Right to Protection from Arbitrary Detention</w:t>
      </w:r>
      <w:bookmarkEnd w:id="9"/>
    </w:p>
    <w:p w14:paraId="4F2C56C6"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In recent years, prolonged pretrial detention in politically motivated cases has emerged as one of the most serious challenges undermining the criminal justice system in Egypt. Over the past decade—and particularly since 2013, following amendments to the law on pretrial detention—numerous human rights organizations have documented the arbitrary and unlawful detention of thousands of individuals accused in terrorism-related cases. In many instances, the duration of their pretrial detention has exceeded the maximum legal limit set for criminal cases, which is capped at two years.</w:t>
      </w:r>
    </w:p>
    <w:p w14:paraId="7309BAB3" w14:textId="77777777" w:rsidR="00C31CA4" w:rsidRPr="00C31CA4" w:rsidRDefault="00C31CA4" w:rsidP="00C31CA4">
      <w:pPr>
        <w:pStyle w:val="NormalWeb"/>
        <w:jc w:val="lowKashida"/>
        <w:rPr>
          <w:rFonts w:asciiTheme="minorHAnsi" w:hAnsiTheme="minorHAnsi" w:cstheme="minorHAnsi"/>
          <w:sz w:val="28"/>
          <w:szCs w:val="28"/>
          <w:rtl/>
        </w:rPr>
      </w:pPr>
      <w:r w:rsidRPr="00C31CA4">
        <w:rPr>
          <w:rFonts w:asciiTheme="minorHAnsi" w:hAnsiTheme="minorHAnsi" w:cstheme="minorHAnsi"/>
          <w:sz w:val="28"/>
          <w:szCs w:val="28"/>
        </w:rPr>
        <w:t>Article 143 of the Code of Criminal Procedure (Law No. 150 of 1950), as amended by Law No. 83 of 2013, stipulates:</w:t>
      </w:r>
    </w:p>
    <w:p w14:paraId="574C5DE3"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“Under no circumstances may the duration of pretrial detention during the preliminary investigation phase or any other stage of criminal proceedings exceed one-third of the maximum custodial penalty, provided that it does not exceed 6 months in misdemeanors, 18 months in felonies, and 2 years if the prescribed penalty for the crime is life imprisonment or death.”</w:t>
      </w:r>
    </w:p>
    <w:p w14:paraId="27BAA6DB"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The law requires the Public Prosecution not to exceed these limits for each offense as legally classified, and to order the release of the accused or promptly refer the case to the competent court for adjudication. Pretrial detention is meant to be a precautionary and temporary investigative measure, to which the prosecution may resort only under specific conditions.</w:t>
      </w:r>
    </w:p>
    <w:p w14:paraId="3E9FEDC9" w14:textId="77777777" w:rsidR="00C31CA4" w:rsidRPr="00C31CA4" w:rsidRDefault="00C31CA4" w:rsidP="00C31CA4">
      <w:pPr>
        <w:pStyle w:val="NormalWeb"/>
        <w:jc w:val="lowKashida"/>
        <w:rPr>
          <w:rFonts w:asciiTheme="minorHAnsi" w:hAnsiTheme="minorHAnsi" w:cstheme="minorHAnsi"/>
          <w:sz w:val="28"/>
          <w:szCs w:val="28"/>
          <w:rtl/>
        </w:rPr>
      </w:pPr>
      <w:r w:rsidRPr="00C31CA4">
        <w:rPr>
          <w:rFonts w:asciiTheme="minorHAnsi" w:hAnsiTheme="minorHAnsi" w:cstheme="minorHAnsi"/>
          <w:sz w:val="28"/>
          <w:szCs w:val="28"/>
        </w:rPr>
        <w:t>Article 134 of the Code of Criminal Procedure provides that:</w:t>
      </w:r>
    </w:p>
    <w:p w14:paraId="187203C6"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“After interrogating the accused in a misdemeanor or felony, and provided that sufficient evidence exists, the investigating judge may order pretrial detention in four cases: (1) when the crime is caught in flagrante delicto and immediate execution of judgment is required; (2) when there is a risk of the accused fleeing; </w:t>
      </w:r>
      <w:r w:rsidRPr="00C31CA4">
        <w:rPr>
          <w:rFonts w:asciiTheme="minorHAnsi" w:hAnsiTheme="minorHAnsi" w:cstheme="minorHAnsi"/>
          <w:sz w:val="28"/>
          <w:szCs w:val="28"/>
        </w:rPr>
        <w:lastRenderedPageBreak/>
        <w:t>(3) when there is a risk of compromising the interests of the investigation, whether by influencing the victim or witnesses, tampering with evidence or material clues, or colluding with other perpetrators to alter or obscure the facts; (4) to prevent serious disruption to public order and security that may result from the gravity of the crime.”</w:t>
      </w:r>
    </w:p>
    <w:p w14:paraId="69078EE8"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This grants the Public Prosecution wide discretionary authority to order pretrial detention so long as sufficient evidence is deemed to exist or under the guise of protecting public order. In practice, however, this provision conflicts with the guarantees of personal liberty enshrined in the Egyptian Constitution, which prohibit arrests except in cases of flagrante delicto. Article 54 of the current Constitution affirms:</w:t>
      </w:r>
      <w:r w:rsidRPr="00C31CA4">
        <w:rPr>
          <w:rFonts w:asciiTheme="minorHAnsi" w:hAnsiTheme="minorHAnsi" w:cstheme="minorHAnsi"/>
          <w:sz w:val="28"/>
          <w:szCs w:val="28"/>
        </w:rPr>
        <w:br/>
        <w:t>“Personal freedom is a natural right, safeguarded and inviolable. Except in cases of flagrante delicto, no one may be arrested, searched, detained, or have their liberty restricted except by a reasoned judicial order required for investigation…”</w:t>
      </w:r>
    </w:p>
    <w:p w14:paraId="62023B29"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Yet, under the excessive application of counterterrorism laws, which prescribe severe penalties including life imprisonment and death, the Public Prosecution—as the investigative authority—has come to exercise the maximum allowable periods of pretrial detention against defendants, simply by charging them with crimes under the Anti-Terrorism Law or corresponding provisions of the Penal Code. Typically, this authority is used indiscriminately, without distinguishing between suspects’ actual legal status, or between individuals genuinely implicated in violent acts supported by conclusive evidence and those merely arrested on suspicion.</w:t>
      </w:r>
    </w:p>
    <w:p w14:paraId="0AA48EC8"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Although the 2013 amendments extended the maximum pretrial detention periods on the pretext of deterring crime, security authorities, in coordination with prosecutorial bodies, went further by instituting the practice known as </w:t>
      </w:r>
      <w:r w:rsidRPr="00C31CA4">
        <w:rPr>
          <w:rStyle w:val="Emphasis"/>
          <w:rFonts w:asciiTheme="minorHAnsi" w:eastAsiaTheme="majorEastAsia" w:hAnsiTheme="minorHAnsi" w:cstheme="minorHAnsi"/>
          <w:sz w:val="28"/>
          <w:szCs w:val="28"/>
        </w:rPr>
        <w:t>recycling detainees</w:t>
      </w:r>
      <w:r w:rsidRPr="00C31CA4">
        <w:rPr>
          <w:rFonts w:asciiTheme="minorHAnsi" w:hAnsiTheme="minorHAnsi" w:cstheme="minorHAnsi"/>
          <w:sz w:val="28"/>
          <w:szCs w:val="28"/>
        </w:rPr>
        <w:t>—the recharging of individuals already held in pretrial detention in new cases with nearly identical accusations—ensuring their continued arbitrary detention beyond the statutory limits or despite judicial release orders that contravene the security services’ preferences.</w:t>
      </w:r>
    </w:p>
    <w:p w14:paraId="66063DEF"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The case of Dr. Amasha exemplifies the plight of thousands held in pretrial detention in Egypt for durations exceeding the legal limits set forth in the Code of Criminal Procedure. Dr. Amasha was subjected to extended pretrial detention spanning over seven years in total, served intermittently. As previously noted, this </w:t>
      </w:r>
      <w:r w:rsidRPr="00C31CA4">
        <w:rPr>
          <w:rFonts w:asciiTheme="minorHAnsi" w:hAnsiTheme="minorHAnsi" w:cstheme="minorHAnsi"/>
          <w:sz w:val="28"/>
          <w:szCs w:val="28"/>
        </w:rPr>
        <w:lastRenderedPageBreak/>
        <w:t xml:space="preserve">was not the first time he faced prolonged pretrial detention on account of his political and religious affiliations. Nearly six months after a release order was issued in November 2019, security forces arrested him once again, this time in connection with Case No. 1360 of 2019 (Supreme State Security Prosecution)—the subject of this report—on the same charges. He remained in pretrial detention for over four years, from his arrest on 16 June 2020 until the Public Prosecution </w:t>
      </w:r>
      <w:proofErr w:type="gramStart"/>
      <w:r w:rsidRPr="00C31CA4">
        <w:rPr>
          <w:rFonts w:asciiTheme="minorHAnsi" w:hAnsiTheme="minorHAnsi" w:cstheme="minorHAnsi"/>
          <w:sz w:val="28"/>
          <w:szCs w:val="28"/>
        </w:rPr>
        <w:t>referred</w:t>
      </w:r>
      <w:proofErr w:type="gramEnd"/>
      <w:r w:rsidRPr="00C31CA4">
        <w:rPr>
          <w:rFonts w:asciiTheme="minorHAnsi" w:hAnsiTheme="minorHAnsi" w:cstheme="minorHAnsi"/>
          <w:sz w:val="28"/>
          <w:szCs w:val="28"/>
        </w:rPr>
        <w:t xml:space="preserve"> the case for trial on 30 August 2020. Since the referral to the Criminal Court, he has continued to be held in pretrial detention pending trial hearings.</w:t>
      </w:r>
    </w:p>
    <w:p w14:paraId="1882EB45"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The Trial Monitoring Team also documented five defendants who were previously held in connection with Case No. 316 of 2017 and subsequently </w:t>
      </w:r>
      <w:r w:rsidRPr="00C31CA4">
        <w:rPr>
          <w:rStyle w:val="Emphasis"/>
          <w:rFonts w:asciiTheme="minorHAnsi" w:eastAsiaTheme="majorEastAsia" w:hAnsiTheme="minorHAnsi" w:cstheme="minorHAnsi"/>
          <w:sz w:val="28"/>
          <w:szCs w:val="28"/>
        </w:rPr>
        <w:t>recycled</w:t>
      </w:r>
      <w:r w:rsidRPr="00C31CA4">
        <w:rPr>
          <w:rFonts w:asciiTheme="minorHAnsi" w:hAnsiTheme="minorHAnsi" w:cstheme="minorHAnsi"/>
          <w:sz w:val="28"/>
          <w:szCs w:val="28"/>
        </w:rPr>
        <w:t xml:space="preserve"> into the present case through the referral order, facing the very same accusations as before.</w:t>
      </w:r>
    </w:p>
    <w:p w14:paraId="718869B0"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It is particularly notable in Dr. Amasha’s case that his arrest was not carried out under any condition of flagrante delicto, nor was he confronted during interrogation with specific, individualized criminal conduct. This is consistent with the situation of most defendants in the case under review: all stand accused of “joining a terrorist organization,” with no differentiation in roles, no specification of the </w:t>
      </w:r>
      <w:proofErr w:type="gramStart"/>
      <w:r w:rsidRPr="00C31CA4">
        <w:rPr>
          <w:rFonts w:asciiTheme="minorHAnsi" w:hAnsiTheme="minorHAnsi" w:cstheme="minorHAnsi"/>
          <w:sz w:val="28"/>
          <w:szCs w:val="28"/>
        </w:rPr>
        <w:t>particular acts</w:t>
      </w:r>
      <w:proofErr w:type="gramEnd"/>
      <w:r w:rsidRPr="00C31CA4">
        <w:rPr>
          <w:rFonts w:asciiTheme="minorHAnsi" w:hAnsiTheme="minorHAnsi" w:cstheme="minorHAnsi"/>
          <w:sz w:val="28"/>
          <w:szCs w:val="28"/>
        </w:rPr>
        <w:t xml:space="preserve"> attributed to each defendant, and no indication of concrete harm suffered by any alleged victim.</w:t>
      </w:r>
    </w:p>
    <w:p w14:paraId="194B8AE9" w14:textId="77777777" w:rsid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Such arbitrary use of pretrial detention in terrorism cases constitutes a grave breach of Egypt’s constitutional and international obligations to protect the rights and freedoms of its citizens. It violates the right to personal liberty guaranteed under Article 9 of the International Covenant on Civil and Political Rights, ratified by Egypt in 1981, which ensures protection against arbitrary arrest and detention without legal justification. Accordingly, the arrest and detention measures applied against Defendant No. 34 were in clear contravention of both international human rights law and the equivalent provisions of Egypt’s constitutional framework.</w:t>
      </w:r>
    </w:p>
    <w:p w14:paraId="02EB58CA" w14:textId="77777777" w:rsidR="00A70702" w:rsidRPr="00C31CA4" w:rsidRDefault="00A70702" w:rsidP="00C31CA4">
      <w:pPr>
        <w:pStyle w:val="NormalWeb"/>
        <w:jc w:val="lowKashida"/>
        <w:rPr>
          <w:rFonts w:asciiTheme="minorHAnsi" w:hAnsiTheme="minorHAnsi" w:cstheme="minorHAnsi"/>
          <w:sz w:val="28"/>
          <w:szCs w:val="28"/>
        </w:rPr>
      </w:pPr>
    </w:p>
    <w:p w14:paraId="021CDDCC" w14:textId="77777777" w:rsidR="00C31CA4" w:rsidRPr="004F27B2" w:rsidRDefault="00C31CA4" w:rsidP="00A70702">
      <w:pPr>
        <w:pStyle w:val="Heading3"/>
      </w:pPr>
      <w:bookmarkStart w:id="10" w:name="_Toc208859239"/>
      <w:r w:rsidRPr="004F27B2">
        <w:rPr>
          <w:rStyle w:val="Strong"/>
          <w:b/>
          <w:bCs w:val="0"/>
        </w:rPr>
        <w:t>(c) Violation of the Right Not to Be Subjected to Torture or Other Cruel, Inhuman, or Degrading Treatment</w:t>
      </w:r>
      <w:bookmarkEnd w:id="10"/>
    </w:p>
    <w:p w14:paraId="287583B9"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The provisions of the International Covenant on Civil and Political Rights (ICCPR) emphasize, in several articles, the legal protections afforded to individuals, safeguarding their dignity and ensuring their physical and mental integrity. Article </w:t>
      </w:r>
      <w:r w:rsidRPr="00C31CA4">
        <w:rPr>
          <w:rFonts w:asciiTheme="minorHAnsi" w:hAnsiTheme="minorHAnsi" w:cstheme="minorHAnsi"/>
          <w:sz w:val="28"/>
          <w:szCs w:val="28"/>
        </w:rPr>
        <w:lastRenderedPageBreak/>
        <w:t xml:space="preserve">10(1) states: </w:t>
      </w:r>
      <w:r w:rsidRPr="00C31CA4">
        <w:rPr>
          <w:rStyle w:val="Emphasis"/>
          <w:rFonts w:asciiTheme="minorHAnsi" w:eastAsiaTheme="majorEastAsia" w:hAnsiTheme="minorHAnsi" w:cstheme="minorHAnsi"/>
          <w:sz w:val="28"/>
          <w:szCs w:val="28"/>
        </w:rPr>
        <w:t>“All persons deprived of their liberty shall be treated with humanity and with respect for the inherent dignity of the human person.”</w:t>
      </w:r>
      <w:r w:rsidRPr="00C31CA4">
        <w:rPr>
          <w:rFonts w:asciiTheme="minorHAnsi" w:hAnsiTheme="minorHAnsi" w:cstheme="minorHAnsi"/>
          <w:sz w:val="28"/>
          <w:szCs w:val="28"/>
        </w:rPr>
        <w:t xml:space="preserve"> Article 7 further prohibits States Parties from subjecting anyone to torture or to cruel, inhuman, or degrading treatment or punishment.</w:t>
      </w:r>
    </w:p>
    <w:p w14:paraId="3F4B14EB"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In its General Comment No. 20, the Human Rights Committee clarified key aspects of how this prohibition should be implemented and integrated into each State Party’s national mechanisms. The Committee stressed the need to provide effective legal safeguards protecting individuals from torture, whether through new legislative measures or institutional reform of law enforcement agencies. The General Comment also expanded the interpretation of Article 7, making clear that the prohibition is not limited to acts causing physical pain, but also encompasses those that inflict mental suffering. The Committee noted, for example, that prolonged solitary confinement of a detainee or prisoner may fall within the acts prohibited under Article 7.</w:t>
      </w:r>
    </w:p>
    <w:p w14:paraId="3E6E5B81" w14:textId="77777777" w:rsidR="00C31CA4" w:rsidRPr="00C31CA4" w:rsidRDefault="00C31CA4" w:rsidP="00C31CA4">
      <w:pPr>
        <w:pStyle w:val="NormalWeb"/>
        <w:jc w:val="lowKashida"/>
        <w:rPr>
          <w:rFonts w:asciiTheme="minorHAnsi" w:hAnsiTheme="minorHAnsi" w:cstheme="minorHAnsi"/>
          <w:sz w:val="28"/>
          <w:szCs w:val="28"/>
          <w:rtl/>
        </w:rPr>
      </w:pPr>
      <w:r w:rsidRPr="00C31CA4">
        <w:rPr>
          <w:rFonts w:asciiTheme="minorHAnsi" w:hAnsiTheme="minorHAnsi" w:cstheme="minorHAnsi"/>
          <w:sz w:val="28"/>
          <w:szCs w:val="28"/>
        </w:rPr>
        <w:t>In the same context, the 1987 United Nations Convention against Torture and Other Cruel, Inhuman or Degrading Treatment or Punishment (CAT) set out a detailed definition of torture. Article 1 provides:</w:t>
      </w:r>
    </w:p>
    <w:p w14:paraId="2AB93F6D" w14:textId="77777777" w:rsidR="00C31CA4" w:rsidRPr="00C31CA4" w:rsidRDefault="00C31CA4" w:rsidP="00C31CA4">
      <w:pPr>
        <w:pStyle w:val="NormalWeb"/>
        <w:jc w:val="lowKashida"/>
        <w:rPr>
          <w:rFonts w:asciiTheme="minorHAnsi" w:hAnsiTheme="minorHAnsi" w:cstheme="minorHAnsi"/>
          <w:sz w:val="28"/>
          <w:szCs w:val="28"/>
        </w:rPr>
      </w:pPr>
      <w:r w:rsidRPr="00C31CA4">
        <w:rPr>
          <w:rStyle w:val="Emphasis"/>
          <w:rFonts w:asciiTheme="minorHAnsi" w:eastAsiaTheme="majorEastAsia" w:hAnsiTheme="minorHAnsi" w:cstheme="minorHAnsi"/>
          <w:sz w:val="28"/>
          <w:szCs w:val="28"/>
        </w:rPr>
        <w:t>“For the purposes of this Convention, the term ‘torture’ means any act by which severe pain or suffering, whether physical or mental, is intentionally inflicted on a person for such purposes as obtaining from him or a third person information or a confession, punishing him for an act he or a third person has committed or is suspected of having committed, or intimidating or coercing him or a third person, or for any reason based on discrimination of any kind, when such pain or suffering is inflicted by or at the instigation of or with the consent or acquiescence of a public official or other person acting in an official capacity. It does not include pain or suffering arising only from, inherent in or incidental to lawful sanctions…”</w:t>
      </w:r>
    </w:p>
    <w:p w14:paraId="1FC31117"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Although Egypt is a State Party to the principal human rights treaties—including the ICCPR and the Convention against Torture—and is therefore legally bound to criminalize all forms of torture and ill-treatment, reports and statements from Egyptian human rights organizations indicate the widespread and systematic use of torture in places of detention, particularly against individuals accused under counterterrorism legislation. This is primarily attributable to weaknesses in the legislative framework for protecting individuals from torture and ill-treatment, as </w:t>
      </w:r>
      <w:r w:rsidRPr="00C31CA4">
        <w:rPr>
          <w:rFonts w:asciiTheme="minorHAnsi" w:hAnsiTheme="minorHAnsi" w:cstheme="minorHAnsi"/>
          <w:sz w:val="28"/>
          <w:szCs w:val="28"/>
        </w:rPr>
        <w:lastRenderedPageBreak/>
        <w:t>well as the absence of adequate provisions to deter such crimes when law enforcement authorities abuse their powers.</w:t>
      </w:r>
    </w:p>
    <w:p w14:paraId="197366B1"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Article 52 of the current Egyptian Constitution declares: </w:t>
      </w:r>
      <w:r w:rsidRPr="00C31CA4">
        <w:rPr>
          <w:rStyle w:val="Emphasis"/>
          <w:rFonts w:asciiTheme="minorHAnsi" w:eastAsiaTheme="majorEastAsia" w:hAnsiTheme="minorHAnsi" w:cstheme="minorHAnsi"/>
          <w:sz w:val="28"/>
          <w:szCs w:val="28"/>
        </w:rPr>
        <w:t>“All forms and types of torture are a crime with no statute of limitations.”</w:t>
      </w:r>
      <w:r w:rsidRPr="00C31CA4">
        <w:rPr>
          <w:rFonts w:asciiTheme="minorHAnsi" w:hAnsiTheme="minorHAnsi" w:cstheme="minorHAnsi"/>
          <w:sz w:val="28"/>
          <w:szCs w:val="28"/>
        </w:rPr>
        <w:t xml:space="preserve"> Yet this constitutional guarantee has not been translated into effective provisions within national legislation to protect individuals from torture. Chapter Six of the Egyptian Penal Code (Law No. 58 of 1937), addressing coercion and abuse of power by public officials, does recognize torture as a crime. However, Article 126 defines torture narrowly, limiting it to acts of physical harm inflicted upon a defendant for the purpose of extracting a confession, and excluding other victims or motives. This restrictive definition falls far short of the broader international definition set out in the Convention against Torture, as it unjustifiably excludes cases of psychological or moral harm that individuals may suffer in various contexts.</w:t>
      </w:r>
    </w:p>
    <w:p w14:paraId="7B3744C7"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Moreover, the Penal Code fails to prescribe sufficiently deterrent or effective penalties for law enforcement officers who torture or ill-treat individuals. Article 129, for example, provides only that any public servant or employee who uses cruelty against people shall be punished by imprisonment of no more than one year or a fine not exceeding 200 Egyptian pounds. In addition, the Anti-Terrorism Law introduced legal immunity from criminal liability for security forces when using force during law enforcement. Article 8 states: </w:t>
      </w:r>
      <w:r w:rsidRPr="00C31CA4">
        <w:rPr>
          <w:rStyle w:val="Emphasis"/>
          <w:rFonts w:asciiTheme="minorHAnsi" w:eastAsiaTheme="majorEastAsia" w:hAnsiTheme="minorHAnsi" w:cstheme="minorHAnsi"/>
          <w:sz w:val="28"/>
          <w:szCs w:val="28"/>
        </w:rPr>
        <w:t>“Those carrying out the implementation of this law shall not be held criminally liable if they use force to perform their duties or to protect themselves from imminent danger to life, property, or other assets, provided that such use of force is necessary and proportionate to repel the danger.”</w:t>
      </w:r>
    </w:p>
    <w:p w14:paraId="12567424"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This legal immunity has encouraged Egyptian security forces to resort to systematic violence and torture against terrorism suspects for the purpose of extracting confessions. Detainees in such cases are routinely subjected to various forms of physical and psychological torture during unlawful detention in police facilities, prior to being brought before investigative authorities.</w:t>
      </w:r>
    </w:p>
    <w:p w14:paraId="19B247A5"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In the case under review, many defendants—including Dr. Amasha—testified during investigations that they were subjected to torture and degrading treatment while in custody. In his interrogation records, Dr. Amasha reported enduring multiple forms of torture during his enforced disappearance, including electric </w:t>
      </w:r>
      <w:r w:rsidRPr="00C31CA4">
        <w:rPr>
          <w:rFonts w:asciiTheme="minorHAnsi" w:hAnsiTheme="minorHAnsi" w:cstheme="minorHAnsi"/>
          <w:sz w:val="28"/>
          <w:szCs w:val="28"/>
        </w:rPr>
        <w:lastRenderedPageBreak/>
        <w:t>shocks to various parts of his body, being handcuffed and suspended from the ceiling while interrogated naked, and blindfolding to prevent him from seeing during torture sessions conducted by National Security Agency officers. He further reported sexual assault, including the insertion of a stick into his rectum, threats of rape, and threats that his wife and children would be brought in and tortured before him to force a confession.</w:t>
      </w:r>
    </w:p>
    <w:p w14:paraId="6773521E"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During his pretrial detention renewal sessions, he also complained of harsh and inhumane detention conditions, including denial of basic rights such as family visits, access to lawyers, and the right to exercise. After being transferred to the Badr Correctional and Rehabilitation Center, he was subjected to a new form of psychological torture: being confined in a cell with extremely bright floodlights kept on day and night, coupled with continuous video surveillance, which disrupted his biological clock and deprived him of adequate sleep.</w:t>
      </w:r>
    </w:p>
    <w:p w14:paraId="4E22262F"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The case of Dr. Amasha and other defendants in this trial reflects the deterioration of Egypt’s criminal justice system over the past decade. It demonstrates that Dr. Ahmed Amasha and his co-defendants were denied their right to a fair trial, as the systematic use of torture, abuse, and humiliation fundamentally undermined the legitimacy of the proceedings at every stage.</w:t>
      </w:r>
    </w:p>
    <w:p w14:paraId="0F1FB863" w14:textId="77777777" w:rsidR="00C31CA4" w:rsidRPr="004F27B2" w:rsidRDefault="00C31CA4" w:rsidP="00A70702">
      <w:pPr>
        <w:pStyle w:val="Heading3"/>
      </w:pPr>
      <w:bookmarkStart w:id="11" w:name="_Toc208859240"/>
      <w:r w:rsidRPr="004F27B2">
        <w:rPr>
          <w:rStyle w:val="Strong"/>
          <w:b/>
          <w:bCs w:val="0"/>
        </w:rPr>
        <w:t>(d) Breach by the Public Prosecution of the Right to Defense and Denial of Confidential Communication with Lawyers</w:t>
      </w:r>
      <w:bookmarkEnd w:id="11"/>
    </w:p>
    <w:p w14:paraId="4EF1633D"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Guaranteeing the right to </w:t>
      </w:r>
      <w:proofErr w:type="gramStart"/>
      <w:r w:rsidRPr="00C31CA4">
        <w:rPr>
          <w:rFonts w:asciiTheme="minorHAnsi" w:hAnsiTheme="minorHAnsi" w:cstheme="minorHAnsi"/>
          <w:sz w:val="28"/>
          <w:szCs w:val="28"/>
        </w:rPr>
        <w:t>defense</w:t>
      </w:r>
      <w:proofErr w:type="gramEnd"/>
      <w:r w:rsidRPr="00C31CA4">
        <w:rPr>
          <w:rFonts w:asciiTheme="minorHAnsi" w:hAnsiTheme="minorHAnsi" w:cstheme="minorHAnsi"/>
          <w:sz w:val="28"/>
          <w:szCs w:val="28"/>
        </w:rPr>
        <w:t xml:space="preserve"> at all stages of criminal proceedings is among the most fundamental safeguards required to preserve justice and ensure the right to a fair trial in modern legal systems. The role of defense counsel in preliminary interrogations is not limited to advising the accused, who is often unable to defend himself due to ignorance or distress. Rather, the lawyer’s role during investigations extends to monitoring the legality of the proceedings, preventing the investigator from exceeding his powers, objecting to misleading questions intended to extract confessions, and, when necessary, requesting that objections be officially recorded in the session minutes.</w:t>
      </w:r>
    </w:p>
    <w:p w14:paraId="1D78FA9F"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Since the inception of modern legal systems, criminal laws and international human rights instruments have guaranteed a set of rights and safeguards for accused persons during investigations of criminal offenses. Several international </w:t>
      </w:r>
      <w:r w:rsidRPr="00C31CA4">
        <w:rPr>
          <w:rFonts w:asciiTheme="minorHAnsi" w:hAnsiTheme="minorHAnsi" w:cstheme="minorHAnsi"/>
          <w:sz w:val="28"/>
          <w:szCs w:val="28"/>
        </w:rPr>
        <w:lastRenderedPageBreak/>
        <w:t>instruments affirm the right of accused persons, during investigations, to be presumed innocent, not to be compelled to confess, and to have a lawyer of their choice present during interrogations to provide legal advice and assistance.</w:t>
      </w:r>
    </w:p>
    <w:p w14:paraId="453368F9" w14:textId="77777777" w:rsidR="00C31CA4" w:rsidRPr="00C31CA4" w:rsidRDefault="00C31CA4" w:rsidP="00C31CA4">
      <w:pPr>
        <w:pStyle w:val="NormalWeb"/>
        <w:jc w:val="lowKashida"/>
        <w:rPr>
          <w:rFonts w:asciiTheme="minorHAnsi" w:hAnsiTheme="minorHAnsi" w:cstheme="minorHAnsi"/>
          <w:sz w:val="28"/>
          <w:szCs w:val="28"/>
          <w:rtl/>
        </w:rPr>
      </w:pPr>
      <w:r w:rsidRPr="00C31CA4">
        <w:rPr>
          <w:rFonts w:asciiTheme="minorHAnsi" w:hAnsiTheme="minorHAnsi" w:cstheme="minorHAnsi"/>
          <w:sz w:val="28"/>
          <w:szCs w:val="28"/>
        </w:rPr>
        <w:t xml:space="preserve">Article 14(3)(d) of the International Covenant on Civil and Political Rights (ICCPR), under the section on </w:t>
      </w:r>
      <w:r w:rsidRPr="00C31CA4">
        <w:rPr>
          <w:rStyle w:val="Emphasis"/>
          <w:rFonts w:asciiTheme="minorHAnsi" w:eastAsiaTheme="majorEastAsia" w:hAnsiTheme="minorHAnsi" w:cstheme="minorHAnsi"/>
          <w:sz w:val="28"/>
          <w:szCs w:val="28"/>
        </w:rPr>
        <w:t>“Guarantees of a Fair Trial”</w:t>
      </w:r>
      <w:r w:rsidRPr="00C31CA4">
        <w:rPr>
          <w:rFonts w:asciiTheme="minorHAnsi" w:hAnsiTheme="minorHAnsi" w:cstheme="minorHAnsi"/>
          <w:sz w:val="28"/>
          <w:szCs w:val="28"/>
        </w:rPr>
        <w:t>, provides:</w:t>
      </w:r>
    </w:p>
    <w:p w14:paraId="604EEFAC" w14:textId="77777777" w:rsidR="00C31CA4" w:rsidRPr="00C31CA4" w:rsidRDefault="00C31CA4" w:rsidP="00C31CA4">
      <w:pPr>
        <w:pStyle w:val="NormalWeb"/>
        <w:jc w:val="lowKashida"/>
        <w:rPr>
          <w:rFonts w:asciiTheme="minorHAnsi" w:hAnsiTheme="minorHAnsi" w:cstheme="minorHAnsi"/>
          <w:sz w:val="28"/>
          <w:szCs w:val="28"/>
        </w:rPr>
      </w:pPr>
      <w:r w:rsidRPr="00C31CA4">
        <w:rPr>
          <w:rStyle w:val="Emphasis"/>
          <w:rFonts w:asciiTheme="minorHAnsi" w:eastAsiaTheme="majorEastAsia" w:hAnsiTheme="minorHAnsi" w:cstheme="minorHAnsi"/>
          <w:sz w:val="28"/>
          <w:szCs w:val="28"/>
        </w:rPr>
        <w:t>“In the determination of any criminal charge against him, everyone shall be entitled to the following minimum guarantees, in full equality: (d) To be tried in his presence, and to defend himself in person or through legal assistance of his own choosing; to be informed, if he does not have legal assistance, of this right; and to have legal assistance assigned to him, in any case where the interests of justice so require, and without payment by him in any such case if he does not have sufficient means to pay for it.”</w:t>
      </w:r>
    </w:p>
    <w:p w14:paraId="4F4D83CF"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In its General Comment No. 32, the Human Rights Committee emphasized, under the section on the rights of persons charged with criminal offenses, that the right to legal assistance and to counsel during investigations entails enabling the accused to communicate with their lawyer, allowing sufficient time to consult confidentially and privately, ensuring counsel’s presence during interrogations, and permitting the accused to seek advice during questioning. The Committee further affirmed that confidential communication between an accused and their lawyer is an inseparable part of the right to defense, explicitly guaranteed in international standards adopted by the United Nations on the role of lawyers. Principle 22 of the UN Basic Principles on the Role of Lawyers states that governments must respect the confidentiality of all communications and consultations between lawyers and their clients within their professional relationship.</w:t>
      </w:r>
    </w:p>
    <w:p w14:paraId="6BC66C5F" w14:textId="77777777" w:rsidR="00C31CA4" w:rsidRPr="00C31CA4" w:rsidRDefault="00C31CA4" w:rsidP="00C31CA4">
      <w:pPr>
        <w:pStyle w:val="NormalWeb"/>
        <w:jc w:val="lowKashida"/>
        <w:rPr>
          <w:rFonts w:asciiTheme="minorHAnsi" w:hAnsiTheme="minorHAnsi" w:cstheme="minorHAnsi"/>
          <w:sz w:val="28"/>
          <w:szCs w:val="28"/>
          <w:rtl/>
        </w:rPr>
      </w:pPr>
      <w:r w:rsidRPr="00C31CA4">
        <w:rPr>
          <w:rFonts w:asciiTheme="minorHAnsi" w:hAnsiTheme="minorHAnsi" w:cstheme="minorHAnsi"/>
          <w:sz w:val="28"/>
          <w:szCs w:val="28"/>
        </w:rPr>
        <w:t xml:space="preserve">In Egypt, the current Constitution guarantees defendants the right to defense under Article 96, which stipulates: </w:t>
      </w:r>
      <w:r w:rsidRPr="00C31CA4">
        <w:rPr>
          <w:rStyle w:val="Emphasis"/>
          <w:rFonts w:asciiTheme="minorHAnsi" w:eastAsiaTheme="majorEastAsia" w:hAnsiTheme="minorHAnsi" w:cstheme="minorHAnsi"/>
          <w:sz w:val="28"/>
          <w:szCs w:val="28"/>
        </w:rPr>
        <w:t>“The accused is innocent until proven guilty in a fair legal trial in which he is guaranteed the right to defend himself…”</w:t>
      </w:r>
      <w:r w:rsidRPr="00C31CA4">
        <w:rPr>
          <w:rFonts w:asciiTheme="minorHAnsi" w:hAnsiTheme="minorHAnsi" w:cstheme="minorHAnsi"/>
          <w:sz w:val="28"/>
          <w:szCs w:val="28"/>
        </w:rPr>
        <w:t xml:space="preserve"> The Code of Criminal Procedure also guarantees this right. Article 124 states:</w:t>
      </w:r>
    </w:p>
    <w:p w14:paraId="36385FFD" w14:textId="77777777" w:rsidR="00C31CA4" w:rsidRPr="00C31CA4" w:rsidRDefault="00C31CA4" w:rsidP="00C31CA4">
      <w:pPr>
        <w:pStyle w:val="NormalWeb"/>
        <w:jc w:val="lowKashida"/>
        <w:rPr>
          <w:rFonts w:asciiTheme="minorHAnsi" w:hAnsiTheme="minorHAnsi" w:cstheme="minorHAnsi"/>
          <w:sz w:val="28"/>
          <w:szCs w:val="28"/>
        </w:rPr>
      </w:pPr>
      <w:r w:rsidRPr="00C31CA4">
        <w:rPr>
          <w:rStyle w:val="Emphasis"/>
          <w:rFonts w:asciiTheme="minorHAnsi" w:eastAsiaTheme="majorEastAsia" w:hAnsiTheme="minorHAnsi" w:cstheme="minorHAnsi"/>
          <w:sz w:val="28"/>
          <w:szCs w:val="28"/>
        </w:rPr>
        <w:t xml:space="preserve">“In felonies and misdemeanors punishable by mandatory imprisonment, the investigator may not interrogate the accused or confront him with other accused persons or witnesses except after summoning his lawyer to attend, except in cases of flagrante delicto or urgency due to fear of loss of evidence, as recorded in the minutes. The accused must notify the name of his lawyer </w:t>
      </w:r>
      <w:proofErr w:type="gramStart"/>
      <w:r w:rsidRPr="00C31CA4">
        <w:rPr>
          <w:rStyle w:val="Emphasis"/>
          <w:rFonts w:asciiTheme="minorHAnsi" w:eastAsiaTheme="majorEastAsia" w:hAnsiTheme="minorHAnsi" w:cstheme="minorHAnsi"/>
          <w:sz w:val="28"/>
          <w:szCs w:val="28"/>
        </w:rPr>
        <w:t>in</w:t>
      </w:r>
      <w:proofErr w:type="gramEnd"/>
      <w:r w:rsidRPr="00C31CA4">
        <w:rPr>
          <w:rStyle w:val="Emphasis"/>
          <w:rFonts w:asciiTheme="minorHAnsi" w:eastAsiaTheme="majorEastAsia" w:hAnsiTheme="minorHAnsi" w:cstheme="minorHAnsi"/>
          <w:sz w:val="28"/>
          <w:szCs w:val="28"/>
        </w:rPr>
        <w:t xml:space="preserve"> writing to the court </w:t>
      </w:r>
      <w:r w:rsidRPr="00C31CA4">
        <w:rPr>
          <w:rStyle w:val="Emphasis"/>
          <w:rFonts w:asciiTheme="minorHAnsi" w:eastAsiaTheme="majorEastAsia" w:hAnsiTheme="minorHAnsi" w:cstheme="minorHAnsi"/>
          <w:sz w:val="28"/>
          <w:szCs w:val="28"/>
        </w:rPr>
        <w:lastRenderedPageBreak/>
        <w:t>registry, to the prison warden, or to the investigator; his lawyer may also provide such notice. If the accused has no lawyer or his lawyer fails to appear after being summoned, the investigator must appoint a lawyer for him.”</w:t>
      </w:r>
    </w:p>
    <w:p w14:paraId="2BC740E8" w14:textId="77777777" w:rsidR="00C31CA4" w:rsidRPr="00C31CA4" w:rsidRDefault="00C31CA4" w:rsidP="00C31CA4">
      <w:pPr>
        <w:pStyle w:val="NormalWeb"/>
        <w:jc w:val="lowKashida"/>
        <w:rPr>
          <w:rFonts w:asciiTheme="minorHAnsi" w:hAnsiTheme="minorHAnsi" w:cstheme="minorHAnsi"/>
          <w:sz w:val="28"/>
          <w:szCs w:val="28"/>
          <w:rtl/>
        </w:rPr>
      </w:pPr>
      <w:r w:rsidRPr="00C31CA4">
        <w:rPr>
          <w:rFonts w:asciiTheme="minorHAnsi" w:hAnsiTheme="minorHAnsi" w:cstheme="minorHAnsi"/>
          <w:sz w:val="28"/>
          <w:szCs w:val="28"/>
        </w:rPr>
        <w:t>Article 125 further provides:</w:t>
      </w:r>
    </w:p>
    <w:p w14:paraId="1611CF83" w14:textId="77777777" w:rsidR="00C31CA4" w:rsidRPr="00C31CA4" w:rsidRDefault="00C31CA4" w:rsidP="00C31CA4">
      <w:pPr>
        <w:pStyle w:val="NormalWeb"/>
        <w:jc w:val="lowKashida"/>
        <w:rPr>
          <w:rFonts w:asciiTheme="minorHAnsi" w:hAnsiTheme="minorHAnsi" w:cstheme="minorHAnsi"/>
          <w:sz w:val="28"/>
          <w:szCs w:val="28"/>
        </w:rPr>
      </w:pPr>
      <w:r w:rsidRPr="00C31CA4">
        <w:rPr>
          <w:rStyle w:val="Emphasis"/>
          <w:rFonts w:asciiTheme="minorHAnsi" w:eastAsiaTheme="majorEastAsia" w:hAnsiTheme="minorHAnsi" w:cstheme="minorHAnsi"/>
          <w:sz w:val="28"/>
          <w:szCs w:val="28"/>
        </w:rPr>
        <w:t>“Counsel must be allowed to review the investigation on the day prior to the interrogation or confrontation, unless the judge decides otherwise. In all cases, the accused may not be separated from his counsel present during the investigation.”</w:t>
      </w:r>
    </w:p>
    <w:p w14:paraId="44529627"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However, over the past decade, the rights of defense guaranteed to terrorism suspects during investigations have been systematically undermined. Numerous violations were committed by the Public Prosecution in the case under review, depriving most defendants—including Dr. Ahmed Amasha—of their rights to defense.</w:t>
      </w:r>
    </w:p>
    <w:p w14:paraId="2F572D89"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During investigations, the Prosecution committed multiple breaches of the accused’s rights, notably depriving him of legal advice throughout the process. Interrogations of Dr. Amasha began late at night in the absence of his primary lawyer. His lawyer was also denied access to the case file or a full copy of the investigation papers until many years after proceedings had begun and the referral to court had already been made.</w:t>
      </w:r>
    </w:p>
    <w:p w14:paraId="3E7AB2AB"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In addition, Dr. Amasha was deprived of his right to medical care and referral to a specialist doctor. For instance, according to prison medical reports, he required surgery under anesthesia to remove his gallbladder, but the State Security Prosecution refused his transfer for surgery, as did the State Security Criminal Court. He also complained during trial sessions of suffering from herniated discs, high blood pressure, and breathing difficulties, as well as being denied family visits, detained in inhumane conditions, and deprived of access to exercise in prison yards.</w:t>
      </w:r>
    </w:p>
    <w:p w14:paraId="0425120E"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Moreover, the Public Prosecution’s conduct in case no. 1360 of 2019 was marked by negligence and bias. During the initial interrogations, the Prosecution ignored allegations that the defendant had been forcibly disappeared by arresting authorities, as well as his claims of torture inside police facilities aimed at extracting confessions. The Prosecution deliberately failed to treat him as a victim in these incidents, thereby denying him the right to challenge the legality of his detention, </w:t>
      </w:r>
      <w:r w:rsidRPr="00C31CA4">
        <w:rPr>
          <w:rFonts w:asciiTheme="minorHAnsi" w:hAnsiTheme="minorHAnsi" w:cstheme="minorHAnsi"/>
          <w:sz w:val="28"/>
          <w:szCs w:val="28"/>
        </w:rPr>
        <w:lastRenderedPageBreak/>
        <w:t>which is guaranteed under the ICCPR. It also ignored the fact that he had previously been held in pretrial detention for more than two years on the same vague charges.</w:t>
      </w:r>
    </w:p>
    <w:p w14:paraId="1D3264F3"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Finally, the decision to designate some defendants in the case, including Dr. Amasha, on terrorist lists for five years flagrantly undermined the presumption of innocence guaranteed by international covenants and the current Egyptian Constitution. This designation carries serious legal consequences, including the imposition of additional pretrial preventive measures that further restrict the defendant’s freedoms and rights, such as asset freezes, travel bans, and placement on watchlists, among other measures addressed later in this report.</w:t>
      </w:r>
    </w:p>
    <w:p w14:paraId="31578B28" w14:textId="77777777" w:rsidR="00C31CA4" w:rsidRDefault="00C31CA4" w:rsidP="00C31CA4">
      <w:pPr>
        <w:pStyle w:val="NormalWeb"/>
        <w:jc w:val="lowKashida"/>
        <w:rPr>
          <w:rFonts w:asciiTheme="minorHAnsi" w:hAnsiTheme="minorHAnsi" w:cstheme="minorHAnsi"/>
          <w:sz w:val="28"/>
          <w:szCs w:val="28"/>
        </w:rPr>
      </w:pPr>
      <w:proofErr w:type="gramStart"/>
      <w:r w:rsidRPr="00C31CA4">
        <w:rPr>
          <w:rFonts w:asciiTheme="minorHAnsi" w:hAnsiTheme="minorHAnsi" w:cstheme="minorHAnsi"/>
          <w:sz w:val="28"/>
          <w:szCs w:val="28"/>
        </w:rPr>
        <w:t>In reality, the</w:t>
      </w:r>
      <w:proofErr w:type="gramEnd"/>
      <w:r w:rsidRPr="00C31CA4">
        <w:rPr>
          <w:rFonts w:asciiTheme="minorHAnsi" w:hAnsiTheme="minorHAnsi" w:cstheme="minorHAnsi"/>
          <w:sz w:val="28"/>
          <w:szCs w:val="28"/>
        </w:rPr>
        <w:t xml:space="preserve"> Public Prosecution’s lack of impartiality in dealing with defendants under the provisions of the Anti-Terrorism Law constitutes a violation of the right to defense, as guaranteed by paragraph (3) of Article 14 of the International Covenant on Civil and Political Rights (ICCPR), the provisions of the Egyptian Constitution, and the Code of Criminal Procedure. All of these affirm the right of defendants to seek the assistance of a lawyer as a fundamental safeguard to protect their rights during the stages of criminal proceedings. Applying these principles to the present case, </w:t>
      </w:r>
      <w:proofErr w:type="gramStart"/>
      <w:r w:rsidRPr="00C31CA4">
        <w:rPr>
          <w:rFonts w:asciiTheme="minorHAnsi" w:hAnsiTheme="minorHAnsi" w:cstheme="minorHAnsi"/>
          <w:sz w:val="28"/>
          <w:szCs w:val="28"/>
        </w:rPr>
        <w:t>the majority of</w:t>
      </w:r>
      <w:proofErr w:type="gramEnd"/>
      <w:r w:rsidRPr="00C31CA4">
        <w:rPr>
          <w:rFonts w:asciiTheme="minorHAnsi" w:hAnsiTheme="minorHAnsi" w:cstheme="minorHAnsi"/>
          <w:sz w:val="28"/>
          <w:szCs w:val="28"/>
        </w:rPr>
        <w:t xml:space="preserve"> defendants—including Dr. Ahmed Amasha—were deprived during the investigation phase of their right to defense and to be assisted by counsel, in a manner that undermines their right to a fair and impartial trial.</w:t>
      </w:r>
    </w:p>
    <w:p w14:paraId="24C62E1A" w14:textId="77777777" w:rsidR="004F27B2" w:rsidRDefault="004F27B2" w:rsidP="00C31CA4">
      <w:pPr>
        <w:pStyle w:val="NormalWeb"/>
        <w:jc w:val="lowKashida"/>
        <w:rPr>
          <w:rFonts w:asciiTheme="minorHAnsi" w:hAnsiTheme="minorHAnsi" w:cstheme="minorHAnsi"/>
          <w:sz w:val="28"/>
          <w:szCs w:val="28"/>
        </w:rPr>
      </w:pPr>
    </w:p>
    <w:p w14:paraId="6D1A4E92" w14:textId="77777777" w:rsidR="004F27B2" w:rsidRDefault="004F27B2" w:rsidP="00C31CA4">
      <w:pPr>
        <w:pStyle w:val="NormalWeb"/>
        <w:jc w:val="lowKashida"/>
        <w:rPr>
          <w:rFonts w:asciiTheme="minorHAnsi" w:hAnsiTheme="minorHAnsi" w:cstheme="minorHAnsi"/>
          <w:sz w:val="28"/>
          <w:szCs w:val="28"/>
        </w:rPr>
      </w:pPr>
    </w:p>
    <w:p w14:paraId="682EFC41" w14:textId="77777777" w:rsidR="004F27B2" w:rsidRPr="00C31CA4" w:rsidRDefault="004F27B2" w:rsidP="00C31CA4">
      <w:pPr>
        <w:pStyle w:val="NormalWeb"/>
        <w:jc w:val="lowKashida"/>
        <w:rPr>
          <w:rFonts w:asciiTheme="minorHAnsi" w:hAnsiTheme="minorHAnsi" w:cstheme="minorHAnsi"/>
          <w:sz w:val="28"/>
          <w:szCs w:val="28"/>
        </w:rPr>
      </w:pPr>
    </w:p>
    <w:p w14:paraId="06823EF3" w14:textId="77777777" w:rsidR="00C31CA4" w:rsidRPr="004F27B2" w:rsidRDefault="00C31CA4" w:rsidP="00A70702">
      <w:pPr>
        <w:pStyle w:val="Heading3"/>
      </w:pPr>
      <w:bookmarkStart w:id="12" w:name="_Toc208859241"/>
      <w:r w:rsidRPr="004F27B2">
        <w:rPr>
          <w:rStyle w:val="Strong"/>
          <w:b/>
          <w:bCs w:val="0"/>
        </w:rPr>
        <w:t>(e) Placement on Terrorist Lists and Violation of the Principle of Presumption of Innocence</w:t>
      </w:r>
      <w:bookmarkEnd w:id="12"/>
    </w:p>
    <w:p w14:paraId="4DB59358"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The system of designating individuals on terrorist lists conflicts with many of the principles of fair trial, particularly the presumption of innocence, which constitutes the cornerstone of any criminal trial and the essence of justice in modern criminal systems. Decisions to include suspects on terrorist lists raise a fundamental concern: they do not require the existence of a final criminal conviction against the accused prior to such designation. Instead, reliance is placed solely on security </w:t>
      </w:r>
      <w:r w:rsidRPr="00C31CA4">
        <w:rPr>
          <w:rFonts w:asciiTheme="minorHAnsi" w:hAnsiTheme="minorHAnsi" w:cstheme="minorHAnsi"/>
          <w:sz w:val="28"/>
          <w:szCs w:val="28"/>
        </w:rPr>
        <w:lastRenderedPageBreak/>
        <w:t>investigations as the only basis for imposing this preventive measure, which carries all the attributes of “punishment.” This stands in direct contradiction with the principle of presumption of innocence, rendering such designation a penalty imposed before trial.</w:t>
      </w:r>
    </w:p>
    <w:p w14:paraId="49E2711B"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The presumption of innocence is one of the fundamental principles of the right to a fair and impartial trial, and successive Egyptian constitutions have consistently protected it. The most recent Constitution of 2014 explicitly provides: </w:t>
      </w:r>
      <w:r w:rsidRPr="00C31CA4">
        <w:rPr>
          <w:rStyle w:val="Emphasis"/>
          <w:rFonts w:asciiTheme="minorHAnsi" w:eastAsiaTheme="majorEastAsia" w:hAnsiTheme="minorHAnsi" w:cstheme="minorHAnsi"/>
          <w:sz w:val="28"/>
          <w:szCs w:val="28"/>
        </w:rPr>
        <w:t>“The accused is innocent until proven guilty in a fair legal trial in which he is guaranteed the right to defend himself.”</w:t>
      </w:r>
      <w:r w:rsidRPr="00C31CA4">
        <w:rPr>
          <w:rFonts w:asciiTheme="minorHAnsi" w:hAnsiTheme="minorHAnsi" w:cstheme="minorHAnsi"/>
          <w:sz w:val="28"/>
          <w:szCs w:val="28"/>
        </w:rPr>
        <w:t xml:space="preserve"> Labeling a defendant as a “terrorist,” and the serious legal and social consequences that flow from such designation and affect both the accused and their relatives, constitutes in substance a punitive measure—even if the legislator presents it as a preventive one. Imposing any punitive measure without a fair legal trial in which the accused is given the opportunity to confront the charges and defend himself constitutes a clear breach of the presumption of innocence.</w:t>
      </w:r>
    </w:p>
    <w:p w14:paraId="0F1A065B"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This principle has been affirmed by the Supreme Constitutional Court in </w:t>
      </w:r>
      <w:proofErr w:type="gramStart"/>
      <w:r w:rsidRPr="00C31CA4">
        <w:rPr>
          <w:rFonts w:asciiTheme="minorHAnsi" w:hAnsiTheme="minorHAnsi" w:cstheme="minorHAnsi"/>
          <w:sz w:val="28"/>
          <w:szCs w:val="28"/>
        </w:rPr>
        <w:t>a number of</w:t>
      </w:r>
      <w:proofErr w:type="gramEnd"/>
      <w:r w:rsidRPr="00C31CA4">
        <w:rPr>
          <w:rFonts w:asciiTheme="minorHAnsi" w:hAnsiTheme="minorHAnsi" w:cstheme="minorHAnsi"/>
          <w:sz w:val="28"/>
          <w:szCs w:val="28"/>
        </w:rPr>
        <w:t xml:space="preserve"> its rulings, where it stressed that the presumption of innocence extends to every individual—whether a suspect or an accused—as a basic rule of the accusatory system. It is not intended to shield the guilty, but rather “to prevent punishment from being imposed on an individual where the charge is so encircled by doubt as to preclude certainty that the accused committed the criminal act.” The Court further clarified that “a criminal accusation, in itself, does not dislodge the presumption of innocence, which remains with the individual at all times and in all circumstances—before and during trial, throughout all its stages, and regardless of the time its proceedings may take.” The only way to rebut the presumption of innocence is through “evidence whose probative force reaches the level of certainty and conviction beyond reasonable doubt, provided that such evidence has been conclusively established by a judicial ruling that has exhausted all avenues of appeal.” This safeguard is entirely absent in the decision to designate defendants—including the subject of this report—on terrorist lists.</w:t>
      </w:r>
    </w:p>
    <w:p w14:paraId="747299F6"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It should also be noted that the presumption of innocence is a well-established principle of fair trial under international human rights law, emphasized in numerous instruments and treaties, including the Universal Declaration of Human Rights, the International Covenant on Civil and Political Rights, the African Charter </w:t>
      </w:r>
      <w:r w:rsidRPr="00C31CA4">
        <w:rPr>
          <w:rFonts w:asciiTheme="minorHAnsi" w:hAnsiTheme="minorHAnsi" w:cstheme="minorHAnsi"/>
          <w:sz w:val="28"/>
          <w:szCs w:val="28"/>
        </w:rPr>
        <w:lastRenderedPageBreak/>
        <w:t xml:space="preserve">on Human and Peoples’ Rights, the Arab Charter on Human Rights, and the European Convention on Human Rights. Its importance is also reflected in the work of international monitoring bodies responsible for interpreting and overseeing the implementation of human rights law. For instance, the Human Rights Committee has affirmed in several General Comments that “the right to presumption of innocence is a rule of customary international law—it </w:t>
      </w:r>
      <w:proofErr w:type="gramStart"/>
      <w:r w:rsidRPr="00C31CA4">
        <w:rPr>
          <w:rFonts w:asciiTheme="minorHAnsi" w:hAnsiTheme="minorHAnsi" w:cstheme="minorHAnsi"/>
          <w:sz w:val="28"/>
          <w:szCs w:val="28"/>
        </w:rPr>
        <w:t>applies at all times</w:t>
      </w:r>
      <w:proofErr w:type="gramEnd"/>
      <w:r w:rsidRPr="00C31CA4">
        <w:rPr>
          <w:rFonts w:asciiTheme="minorHAnsi" w:hAnsiTheme="minorHAnsi" w:cstheme="minorHAnsi"/>
          <w:sz w:val="28"/>
          <w:szCs w:val="28"/>
        </w:rPr>
        <w:t xml:space="preserve"> and in all circumstances. It cannot be subject to reservations in treaties, nor can it be restricted by law in times of war or other public emergencies.” The Committee has also stressed that presumption of innocence “places the burden of proof on the prosecution and ensures that guilt is not presumed until the charge has been proved beyond reasonable doubt.”</w:t>
      </w:r>
    </w:p>
    <w:p w14:paraId="6B896874" w14:textId="77777777" w:rsidR="00C31CA4" w:rsidRPr="004F27B2" w:rsidRDefault="00C31CA4" w:rsidP="00A70702">
      <w:pPr>
        <w:pStyle w:val="Heading3"/>
      </w:pPr>
      <w:bookmarkStart w:id="13" w:name="_Toc208859242"/>
      <w:r w:rsidRPr="004F27B2">
        <w:rPr>
          <w:rStyle w:val="Strong"/>
          <w:b/>
          <w:bCs w:val="0"/>
        </w:rPr>
        <w:t>(f) Violation of the Right to Medical Care During the Investigation Phase</w:t>
      </w:r>
      <w:bookmarkEnd w:id="13"/>
    </w:p>
    <w:p w14:paraId="11790E2C"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The right to receive medical treatment in places of detention, at any stage of criminal proceedings, is among the most fundamental human rights guaranteed by all international instruments and national constitutions. For example, the Human Rights Committee has affirmed that the protection of detainees requires allowing them prompt and regular access to doctors, </w:t>
      </w:r>
      <w:proofErr w:type="gramStart"/>
      <w:r w:rsidRPr="00C31CA4">
        <w:rPr>
          <w:rFonts w:asciiTheme="minorHAnsi" w:hAnsiTheme="minorHAnsi" w:cstheme="minorHAnsi"/>
          <w:sz w:val="28"/>
          <w:szCs w:val="28"/>
        </w:rPr>
        <w:t>in order to</w:t>
      </w:r>
      <w:proofErr w:type="gramEnd"/>
      <w:r w:rsidRPr="00C31CA4">
        <w:rPr>
          <w:rFonts w:asciiTheme="minorHAnsi" w:hAnsiTheme="minorHAnsi" w:cstheme="minorHAnsi"/>
          <w:sz w:val="28"/>
          <w:szCs w:val="28"/>
        </w:rPr>
        <w:t xml:space="preserve"> prevent torture and other forms of ill-treatment. Similarly, </w:t>
      </w:r>
      <w:proofErr w:type="gramStart"/>
      <w:r w:rsidRPr="00C31CA4">
        <w:rPr>
          <w:rFonts w:asciiTheme="minorHAnsi" w:hAnsiTheme="minorHAnsi" w:cstheme="minorHAnsi"/>
          <w:sz w:val="28"/>
          <w:szCs w:val="28"/>
        </w:rPr>
        <w:t>Principle</w:t>
      </w:r>
      <w:proofErr w:type="gramEnd"/>
      <w:r w:rsidRPr="00C31CA4">
        <w:rPr>
          <w:rFonts w:asciiTheme="minorHAnsi" w:hAnsiTheme="minorHAnsi" w:cstheme="minorHAnsi"/>
          <w:sz w:val="28"/>
          <w:szCs w:val="28"/>
        </w:rPr>
        <w:t xml:space="preserve"> No. 24 of the </w:t>
      </w:r>
      <w:r w:rsidRPr="00C31CA4">
        <w:rPr>
          <w:rStyle w:val="Emphasis"/>
          <w:rFonts w:asciiTheme="minorHAnsi" w:eastAsiaTheme="majorEastAsia" w:hAnsiTheme="minorHAnsi" w:cstheme="minorHAnsi"/>
          <w:sz w:val="28"/>
          <w:szCs w:val="28"/>
        </w:rPr>
        <w:t>Body of Principles for the Protection of All Persons under Any Form of Detention or Imprisonment</w:t>
      </w:r>
      <w:r w:rsidRPr="00C31CA4">
        <w:rPr>
          <w:rFonts w:asciiTheme="minorHAnsi" w:hAnsiTheme="minorHAnsi" w:cstheme="minorHAnsi"/>
          <w:sz w:val="28"/>
          <w:szCs w:val="28"/>
        </w:rPr>
        <w:t xml:space="preserve"> requires that prisoners be examined by a doctor at the earliest possible opportunity, whenever their health condition so requires, or whenever the detainee requests to see a doctor and receive treatment. Article 14 of the </w:t>
      </w:r>
      <w:r w:rsidRPr="00C31CA4">
        <w:rPr>
          <w:rStyle w:val="Emphasis"/>
          <w:rFonts w:asciiTheme="minorHAnsi" w:eastAsiaTheme="majorEastAsia" w:hAnsiTheme="minorHAnsi" w:cstheme="minorHAnsi"/>
          <w:sz w:val="28"/>
          <w:szCs w:val="28"/>
        </w:rPr>
        <w:t>Arab Charter on Human Rights</w:t>
      </w:r>
      <w:r w:rsidRPr="00C31CA4">
        <w:rPr>
          <w:rFonts w:asciiTheme="minorHAnsi" w:hAnsiTheme="minorHAnsi" w:cstheme="minorHAnsi"/>
          <w:sz w:val="28"/>
          <w:szCs w:val="28"/>
        </w:rPr>
        <w:t xml:space="preserve"> also underscores the right of detainees to medical examination.</w:t>
      </w:r>
    </w:p>
    <w:p w14:paraId="6C217457"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Applying these principles to the case under review, and according to the testimonies of many </w:t>
      </w:r>
      <w:proofErr w:type="gramStart"/>
      <w:r w:rsidRPr="00C31CA4">
        <w:rPr>
          <w:rFonts w:asciiTheme="minorHAnsi" w:hAnsiTheme="minorHAnsi" w:cstheme="minorHAnsi"/>
          <w:sz w:val="28"/>
          <w:szCs w:val="28"/>
        </w:rPr>
        <w:t>defendants—</w:t>
      </w:r>
      <w:proofErr w:type="gramEnd"/>
      <w:r w:rsidRPr="00C31CA4">
        <w:rPr>
          <w:rFonts w:asciiTheme="minorHAnsi" w:hAnsiTheme="minorHAnsi" w:cstheme="minorHAnsi"/>
          <w:sz w:val="28"/>
          <w:szCs w:val="28"/>
        </w:rPr>
        <w:t xml:space="preserve">including Dr. </w:t>
      </w:r>
      <w:proofErr w:type="gramStart"/>
      <w:r w:rsidRPr="00C31CA4">
        <w:rPr>
          <w:rFonts w:asciiTheme="minorHAnsi" w:hAnsiTheme="minorHAnsi" w:cstheme="minorHAnsi"/>
          <w:sz w:val="28"/>
          <w:szCs w:val="28"/>
        </w:rPr>
        <w:t>Amasha—</w:t>
      </w:r>
      <w:proofErr w:type="gramEnd"/>
      <w:r w:rsidRPr="00C31CA4">
        <w:rPr>
          <w:rFonts w:asciiTheme="minorHAnsi" w:hAnsiTheme="minorHAnsi" w:cstheme="minorHAnsi"/>
          <w:sz w:val="28"/>
          <w:szCs w:val="28"/>
        </w:rPr>
        <w:t xml:space="preserve">whether during investigations or pretrial detention renewal sessions, it is evident that there has been severe obstinacy in providing detainees with any genuine medical care throughout the period of pretrial detention. Dr. Amasha complained of being denied medical care during his detention and since the commencement of trial proceedings. He reported having sustained severe injuries </w:t>
      </w:r>
      <w:proofErr w:type="gramStart"/>
      <w:r w:rsidRPr="00C31CA4">
        <w:rPr>
          <w:rFonts w:asciiTheme="minorHAnsi" w:hAnsiTheme="minorHAnsi" w:cstheme="minorHAnsi"/>
          <w:sz w:val="28"/>
          <w:szCs w:val="28"/>
        </w:rPr>
        <w:t>as a result of</w:t>
      </w:r>
      <w:proofErr w:type="gramEnd"/>
      <w:r w:rsidRPr="00C31CA4">
        <w:rPr>
          <w:rFonts w:asciiTheme="minorHAnsi" w:hAnsiTheme="minorHAnsi" w:cstheme="minorHAnsi"/>
          <w:sz w:val="28"/>
          <w:szCs w:val="28"/>
        </w:rPr>
        <w:t xml:space="preserve"> physical torture during his enforced disappearance and unlawful detention at a security facility. These injuries included fractures or fissures in the left side of his chest (specifically in the ribs), kidney pain on the left side, eye inflammation due to blindfolding, and pain in the wrists caused by prolonged handcuffing.</w:t>
      </w:r>
    </w:p>
    <w:p w14:paraId="5A791CF3"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lastRenderedPageBreak/>
        <w:t xml:space="preserve">Based on his statements during interrogation, the Public Prosecution ordered that he be referred to the Forensic Medicine Authority to document his injuries and determine their causes. On July 20, 2020, defendant No. 34 was examined, and the forensic medical report stated: </w:t>
      </w:r>
      <w:r w:rsidRPr="00C31CA4">
        <w:rPr>
          <w:rStyle w:val="Emphasis"/>
          <w:rFonts w:asciiTheme="minorHAnsi" w:eastAsiaTheme="majorEastAsia" w:hAnsiTheme="minorHAnsi" w:cstheme="minorHAnsi"/>
          <w:sz w:val="28"/>
          <w:szCs w:val="28"/>
        </w:rPr>
        <w:t>“Upon external examination, no clear signs of recent visible injuries were detected, other than what may be consistent with electric shocks. The subject complained of pain in the left side of the chest (ribs). A professional medical opinion is deferred pending referral to a public hospital for a standard chest X-ray.”</w:t>
      </w:r>
    </w:p>
    <w:p w14:paraId="73586D1E"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Over the following years, Dr. Amasha’s </w:t>
      </w:r>
      <w:proofErr w:type="gramStart"/>
      <w:r w:rsidRPr="00C31CA4">
        <w:rPr>
          <w:rFonts w:asciiTheme="minorHAnsi" w:hAnsiTheme="minorHAnsi" w:cstheme="minorHAnsi"/>
          <w:sz w:val="28"/>
          <w:szCs w:val="28"/>
        </w:rPr>
        <w:t>health condition</w:t>
      </w:r>
      <w:proofErr w:type="gramEnd"/>
      <w:r w:rsidRPr="00C31CA4">
        <w:rPr>
          <w:rFonts w:asciiTheme="minorHAnsi" w:hAnsiTheme="minorHAnsi" w:cstheme="minorHAnsi"/>
          <w:sz w:val="28"/>
          <w:szCs w:val="28"/>
        </w:rPr>
        <w:t xml:space="preserve"> deteriorated significantly on several occasions. He began to suffer from a stomach ulcer, a slipped disc, retinal detachment, and optic neuritis. On March 20, 2021, he underwent a medical examination in prison, where the prison doctor reported that he was suffering from chronic gallbladder inflammation with gallstones and recommended his transfer to Liman Tora Prison Hospital for surgical removal of the gallbladder under anesthesia. Three days later, the prison administration requested authorization from the Supreme State Security Prosecution to conduct the surgery and transfer him to Liman Tora, but the Prosecution rejected the request—even though his family had offered to cover all medical expenses.</w:t>
      </w:r>
    </w:p>
    <w:p w14:paraId="225F05BF"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Despite the establishment of a special medical system at the new Badr Correctional and Rehabilitation Complex, detainees have not benefited from it, as prison authorities deliberately deny them regular medical follow-up. For instance, according to documentation with Dr. Amasha’s son, his condition required a root canal procedure. After the first session, the dentist requested his return the next day to complete the treatment, but prison authorities prevented him from attending the scheduled appointment. Moreover, in many instances, doctors are unavailable to examine detainees for extended periods, and prison authorities often deliberately withhold necessary medications from inmates.</w:t>
      </w:r>
    </w:p>
    <w:p w14:paraId="326C2EF4"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Accordingly, it can be concluded that </w:t>
      </w:r>
      <w:proofErr w:type="gramStart"/>
      <w:r w:rsidRPr="00C31CA4">
        <w:rPr>
          <w:rFonts w:asciiTheme="minorHAnsi" w:hAnsiTheme="minorHAnsi" w:cstheme="minorHAnsi"/>
          <w:sz w:val="28"/>
          <w:szCs w:val="28"/>
        </w:rPr>
        <w:t>the majority of</w:t>
      </w:r>
      <w:proofErr w:type="gramEnd"/>
      <w:r w:rsidRPr="00C31CA4">
        <w:rPr>
          <w:rFonts w:asciiTheme="minorHAnsi" w:hAnsiTheme="minorHAnsi" w:cstheme="minorHAnsi"/>
          <w:sz w:val="28"/>
          <w:szCs w:val="28"/>
        </w:rPr>
        <w:t xml:space="preserve"> defendants—including Dr. Amasha—have been deprived of their right to medical care, in clear violation of international fair trial standards, as well as Article 18 of the 2014 Egyptian Constitution, which guarantees every citizen the constitutional right to healthcare and prohibits denial of treatment in all its forms. This also contravenes Chapter VII of the Egyptian Prisons Regulation Law No. 396 of 1956 on the medical treatment of prisoners. Articles (33) to (37) obligate prison administrations to provide </w:t>
      </w:r>
      <w:r w:rsidRPr="00C31CA4">
        <w:rPr>
          <w:rFonts w:asciiTheme="minorHAnsi" w:hAnsiTheme="minorHAnsi" w:cstheme="minorHAnsi"/>
          <w:sz w:val="28"/>
          <w:szCs w:val="28"/>
        </w:rPr>
        <w:lastRenderedPageBreak/>
        <w:t>healthcare to inmates referred to them, and to submit regular medical reports on their health conditions from the prison doctor to the Prison Medical Services Administration.</w:t>
      </w:r>
    </w:p>
    <w:p w14:paraId="7B5213D0" w14:textId="77777777" w:rsidR="00C31CA4" w:rsidRPr="004F27B2" w:rsidRDefault="00C31CA4" w:rsidP="00A70702">
      <w:pPr>
        <w:pStyle w:val="Heading3"/>
      </w:pPr>
      <w:bookmarkStart w:id="14" w:name="_Toc208859243"/>
      <w:r w:rsidRPr="004F27B2">
        <w:rPr>
          <w:rStyle w:val="Strong"/>
          <w:b/>
          <w:bCs w:val="0"/>
        </w:rPr>
        <w:t>(g) Violation of the Right to Receive Visits and Communicate with the Outside World During the Investigation Phase</w:t>
      </w:r>
      <w:bookmarkEnd w:id="14"/>
    </w:p>
    <w:p w14:paraId="16CF1637"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International human rights instruments and treaties guarantee detainees a set of rights that authorities must provide and respect within places of detention. Among the most fundamental safeguards is the right to receive visits and to communicate with family members, which serves as a key protection against ill-treatment or torture in all its forms. Principle 19 of the </w:t>
      </w:r>
      <w:r w:rsidRPr="00C31CA4">
        <w:rPr>
          <w:rStyle w:val="Emphasis"/>
          <w:rFonts w:asciiTheme="minorHAnsi" w:eastAsiaTheme="majorEastAsia" w:hAnsiTheme="minorHAnsi" w:cstheme="minorHAnsi"/>
          <w:sz w:val="28"/>
          <w:szCs w:val="28"/>
        </w:rPr>
        <w:t>Body of Principles for the Protection of All Persons under Any Form of Detention or Imprisonment</w:t>
      </w:r>
      <w:r w:rsidRPr="00C31CA4">
        <w:rPr>
          <w:rFonts w:asciiTheme="minorHAnsi" w:hAnsiTheme="minorHAnsi" w:cstheme="minorHAnsi"/>
          <w:sz w:val="28"/>
          <w:szCs w:val="28"/>
        </w:rPr>
        <w:t xml:space="preserve"> affirms that detainees, at all stages of criminal proceedings—particularly in the pretrial stage—have the right to receive visits and correspond with family members of their choice, as well as their legal representatives. This is reinforced by Article 17(2) of the </w:t>
      </w:r>
      <w:r w:rsidRPr="00C31CA4">
        <w:rPr>
          <w:rStyle w:val="Emphasis"/>
          <w:rFonts w:asciiTheme="minorHAnsi" w:eastAsiaTheme="majorEastAsia" w:hAnsiTheme="minorHAnsi" w:cstheme="minorHAnsi"/>
          <w:sz w:val="28"/>
          <w:szCs w:val="28"/>
        </w:rPr>
        <w:t>International Convention for the Protection of All Persons from Enforced Disappearance</w:t>
      </w:r>
      <w:r w:rsidRPr="00C31CA4">
        <w:rPr>
          <w:rFonts w:asciiTheme="minorHAnsi" w:hAnsiTheme="minorHAnsi" w:cstheme="minorHAnsi"/>
          <w:sz w:val="28"/>
          <w:szCs w:val="28"/>
        </w:rPr>
        <w:t>, which stipulates that this right shall not be subject to anything other than reasonable and proportionate conditions and restrictions.</w:t>
      </w:r>
    </w:p>
    <w:p w14:paraId="2193F501"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 xml:space="preserve">At the domestic level, Chapter VIII of the Egyptian Prisons Regulation Law No. 396 of 1956, as amended by Law No. 14 of 2022, grants prisoners the right to receive visits from relatives twice per month. Additionally, Article 85 bis (3) of Minister of Interior Decree No. 79 of 1961, concerning the internal regulations of correctional and rehabilitation centers (formerly known as the Prison Authority), provides pretrial </w:t>
      </w:r>
      <w:proofErr w:type="gramStart"/>
      <w:r w:rsidRPr="00C31CA4">
        <w:rPr>
          <w:rFonts w:asciiTheme="minorHAnsi" w:hAnsiTheme="minorHAnsi" w:cstheme="minorHAnsi"/>
          <w:sz w:val="28"/>
          <w:szCs w:val="28"/>
        </w:rPr>
        <w:t>detainees</w:t>
      </w:r>
      <w:proofErr w:type="gramEnd"/>
      <w:r w:rsidRPr="00C31CA4">
        <w:rPr>
          <w:rFonts w:asciiTheme="minorHAnsi" w:hAnsiTheme="minorHAnsi" w:cstheme="minorHAnsi"/>
          <w:sz w:val="28"/>
          <w:szCs w:val="28"/>
        </w:rPr>
        <w:t xml:space="preserve"> the right to outdoor exercise for one hour in the morning and one hour in the evening, except on Fridays and public holidays.</w:t>
      </w:r>
    </w:p>
    <w:p w14:paraId="442AE39B"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t>Applying these rules to the case under review, and specifically to the situation of Dr. Amasha, it becomes evident that since his arrest on June 16, 2020, and subsequent transfer to Tora Maximum-Security Prison II, he has been entirely deprived of visits for nearly three years. After almost two years in that facility, in September 2022, he was transferred to the Badr Correctional and Rehabilitation Complex, where he remained in isolation inside a cell under 24-hour camera surveillance, without being permitted to meet with any member of his defense team or his family.</w:t>
      </w:r>
    </w:p>
    <w:p w14:paraId="3C6A8CA6" w14:textId="77777777" w:rsidR="00C31CA4" w:rsidRPr="00C31CA4" w:rsidRDefault="00C31CA4" w:rsidP="00C31CA4">
      <w:pPr>
        <w:pStyle w:val="NormalWeb"/>
        <w:jc w:val="lowKashida"/>
        <w:rPr>
          <w:rFonts w:asciiTheme="minorHAnsi" w:hAnsiTheme="minorHAnsi" w:cstheme="minorHAnsi"/>
          <w:sz w:val="28"/>
          <w:szCs w:val="28"/>
        </w:rPr>
      </w:pPr>
      <w:r w:rsidRPr="00C31CA4">
        <w:rPr>
          <w:rFonts w:asciiTheme="minorHAnsi" w:hAnsiTheme="minorHAnsi" w:cstheme="minorHAnsi"/>
          <w:sz w:val="28"/>
          <w:szCs w:val="28"/>
        </w:rPr>
        <w:lastRenderedPageBreak/>
        <w:t>It was not until May 2023—after the Prosecution had referred the case to the competent court—that his family was allowed a single visit, lasting half an hour, conducted behind glass, once every approximately 55 days. This arrangement remains in effect at the time of writing this report, in clear violation of the law. Moreover, he has been denied the legally mandated daily exercise hours, set at two hours (one in the morning and one in the evening). Instead, he is permitted only four hours of exercise per week, divided into two sessions.</w:t>
      </w:r>
    </w:p>
    <w:p w14:paraId="1B112187" w14:textId="0FF8669B" w:rsidR="00C31CA4" w:rsidRPr="00C31CA4" w:rsidRDefault="00C31CA4" w:rsidP="004F27B2">
      <w:pPr>
        <w:pStyle w:val="NormalWeb"/>
        <w:jc w:val="lowKashida"/>
        <w:rPr>
          <w:rFonts w:asciiTheme="minorHAnsi" w:hAnsiTheme="minorHAnsi" w:cstheme="minorHAnsi"/>
          <w:sz w:val="28"/>
          <w:szCs w:val="28"/>
          <w:rtl/>
        </w:rPr>
      </w:pPr>
      <w:r w:rsidRPr="00C31CA4">
        <w:rPr>
          <w:rFonts w:asciiTheme="minorHAnsi" w:hAnsiTheme="minorHAnsi" w:cstheme="minorHAnsi"/>
          <w:sz w:val="28"/>
          <w:szCs w:val="28"/>
        </w:rPr>
        <w:t xml:space="preserve">Accordingly, </w:t>
      </w:r>
      <w:proofErr w:type="gramStart"/>
      <w:r w:rsidRPr="00C31CA4">
        <w:rPr>
          <w:rFonts w:asciiTheme="minorHAnsi" w:hAnsiTheme="minorHAnsi" w:cstheme="minorHAnsi"/>
          <w:sz w:val="28"/>
          <w:szCs w:val="28"/>
        </w:rPr>
        <w:t>it is clear that Dr.</w:t>
      </w:r>
      <w:proofErr w:type="gramEnd"/>
      <w:r w:rsidRPr="00C31CA4">
        <w:rPr>
          <w:rFonts w:asciiTheme="minorHAnsi" w:hAnsiTheme="minorHAnsi" w:cstheme="minorHAnsi"/>
          <w:sz w:val="28"/>
          <w:szCs w:val="28"/>
        </w:rPr>
        <w:t xml:space="preserve"> Amasha has been deprived of his right to both exercise and visits, in violation of Egyptian law and of international instruments to which Egypt is a party.</w:t>
      </w:r>
    </w:p>
    <w:p w14:paraId="7B3FE765" w14:textId="77777777" w:rsidR="00C31CA4" w:rsidRPr="00C31CA4" w:rsidRDefault="00C31CA4" w:rsidP="00A70702">
      <w:pPr>
        <w:pStyle w:val="Heading1"/>
        <w:bidi w:val="0"/>
        <w:rPr>
          <w:rFonts w:eastAsia="Times New Roman"/>
        </w:rPr>
      </w:pPr>
      <w:bookmarkStart w:id="15" w:name="_Toc208859244"/>
      <w:r w:rsidRPr="00C31CA4">
        <w:rPr>
          <w:rFonts w:eastAsia="Times New Roman"/>
        </w:rPr>
        <w:t>Conclusion</w:t>
      </w:r>
      <w:bookmarkEnd w:id="15"/>
    </w:p>
    <w:p w14:paraId="5D9D061A" w14:textId="77777777" w:rsidR="00C31CA4" w:rsidRPr="00C31CA4" w:rsidRDefault="00C31CA4" w:rsidP="00C31CA4">
      <w:pPr>
        <w:spacing w:before="100" w:beforeAutospacing="1" w:after="100" w:afterAutospacing="1" w:line="240" w:lineRule="auto"/>
        <w:jc w:val="lowKashida"/>
        <w:rPr>
          <w:rFonts w:eastAsia="Times New Roman" w:cstheme="minorHAnsi"/>
          <w:kern w:val="0"/>
          <w:sz w:val="28"/>
          <w:szCs w:val="28"/>
          <w14:ligatures w14:val="none"/>
        </w:rPr>
      </w:pPr>
      <w:r w:rsidRPr="00C31CA4">
        <w:rPr>
          <w:rFonts w:eastAsia="Times New Roman" w:cstheme="minorHAnsi"/>
          <w:kern w:val="0"/>
          <w:sz w:val="28"/>
          <w:szCs w:val="28"/>
          <w14:ligatures w14:val="none"/>
        </w:rPr>
        <w:t>All pretrial procedures taken against Dr. Ahmed Shawky Abdel Sattar Amasha, veterinarian and former trade unionist, by the Supreme State Security Prosecution in Case No. 1360 of 2019 (Supreme State Security), were in violation of the legal and constitutional safeguards guaranteeing the right to a fair and prompt trial, and in breach of Egypt’s international obligations under ratified human rights treaties and conventions.</w:t>
      </w:r>
    </w:p>
    <w:p w14:paraId="6BFFE963" w14:textId="77777777" w:rsidR="00C31CA4" w:rsidRPr="00C31CA4" w:rsidRDefault="00C31CA4" w:rsidP="00C31CA4">
      <w:pPr>
        <w:spacing w:before="100" w:beforeAutospacing="1" w:after="100" w:afterAutospacing="1" w:line="240" w:lineRule="auto"/>
        <w:jc w:val="lowKashida"/>
        <w:rPr>
          <w:rFonts w:eastAsia="Times New Roman" w:cstheme="minorHAnsi"/>
          <w:kern w:val="0"/>
          <w:sz w:val="28"/>
          <w:szCs w:val="28"/>
          <w14:ligatures w14:val="none"/>
        </w:rPr>
      </w:pPr>
      <w:r w:rsidRPr="00C31CA4">
        <w:rPr>
          <w:rFonts w:eastAsia="Times New Roman" w:cstheme="minorHAnsi"/>
          <w:kern w:val="0"/>
          <w:sz w:val="28"/>
          <w:szCs w:val="28"/>
          <w14:ligatures w14:val="none"/>
        </w:rPr>
        <w:t>This phase—which lasted nearly three years, during which Dr. Amasha was held in arbitrary pretrial detention—revealed the existence of a systematic approach adopted by security agencies in coordination with judicial bodies in handling so-called “terrorism cases.” Its aim was to prolong the detention of politically undesirable individuals for as long as possible, even in the absence of any legitimate legal basis.</w:t>
      </w:r>
    </w:p>
    <w:p w14:paraId="53A961EA" w14:textId="77777777" w:rsidR="00C31CA4" w:rsidRPr="00C31CA4" w:rsidRDefault="00C31CA4" w:rsidP="00C31CA4">
      <w:pPr>
        <w:spacing w:before="100" w:beforeAutospacing="1" w:after="100" w:afterAutospacing="1" w:line="240" w:lineRule="auto"/>
        <w:jc w:val="lowKashida"/>
        <w:rPr>
          <w:rFonts w:eastAsia="Times New Roman" w:cstheme="minorHAnsi"/>
          <w:kern w:val="0"/>
          <w:sz w:val="28"/>
          <w:szCs w:val="28"/>
          <w14:ligatures w14:val="none"/>
        </w:rPr>
      </w:pPr>
      <w:r w:rsidRPr="00C31CA4">
        <w:rPr>
          <w:rFonts w:eastAsia="Times New Roman" w:cstheme="minorHAnsi"/>
          <w:kern w:val="0"/>
          <w:sz w:val="28"/>
          <w:szCs w:val="28"/>
          <w14:ligatures w14:val="none"/>
        </w:rPr>
        <w:t>Throughout this extended period, Dr. Amasha was subjected to a series of grave violations and abuses that directly infringed upon his right to life and had a marked impact on his health, which deteriorated significantly during his detention and continued to worsen even after the case was referred to trial.</w:t>
      </w:r>
    </w:p>
    <w:p w14:paraId="241E3E07" w14:textId="77777777" w:rsidR="00C31CA4" w:rsidRPr="00C31CA4" w:rsidRDefault="00C31CA4" w:rsidP="00C31CA4">
      <w:pPr>
        <w:spacing w:before="100" w:beforeAutospacing="1" w:after="100" w:afterAutospacing="1" w:line="240" w:lineRule="auto"/>
        <w:jc w:val="lowKashida"/>
        <w:rPr>
          <w:rFonts w:eastAsia="Times New Roman" w:cstheme="minorHAnsi"/>
          <w:kern w:val="0"/>
          <w:sz w:val="28"/>
          <w:szCs w:val="28"/>
          <w14:ligatures w14:val="none"/>
        </w:rPr>
      </w:pPr>
      <w:r w:rsidRPr="00C31CA4">
        <w:rPr>
          <w:rFonts w:eastAsia="Times New Roman" w:cstheme="minorHAnsi"/>
          <w:kern w:val="0"/>
          <w:sz w:val="28"/>
          <w:szCs w:val="28"/>
          <w14:ligatures w14:val="none"/>
        </w:rPr>
        <w:t xml:space="preserve">Since the State Security Prosecution referred the case to the Criminal Court on 30 August 2022 for the trial of Dr. Amasha and 56 other </w:t>
      </w:r>
      <w:proofErr w:type="gramStart"/>
      <w:r w:rsidRPr="00C31CA4">
        <w:rPr>
          <w:rFonts w:eastAsia="Times New Roman" w:cstheme="minorHAnsi"/>
          <w:kern w:val="0"/>
          <w:sz w:val="28"/>
          <w:szCs w:val="28"/>
          <w14:ligatures w14:val="none"/>
        </w:rPr>
        <w:t>defendants—</w:t>
      </w:r>
      <w:proofErr w:type="gramEnd"/>
      <w:r w:rsidRPr="00C31CA4">
        <w:rPr>
          <w:rFonts w:eastAsia="Times New Roman" w:cstheme="minorHAnsi"/>
          <w:kern w:val="0"/>
          <w:sz w:val="28"/>
          <w:szCs w:val="28"/>
          <w14:ligatures w14:val="none"/>
        </w:rPr>
        <w:t xml:space="preserve">most of them elderly individuals long engaged in political </w:t>
      </w:r>
      <w:proofErr w:type="gramStart"/>
      <w:r w:rsidRPr="00C31CA4">
        <w:rPr>
          <w:rFonts w:eastAsia="Times New Roman" w:cstheme="minorHAnsi"/>
          <w:kern w:val="0"/>
          <w:sz w:val="28"/>
          <w:szCs w:val="28"/>
          <w14:ligatures w14:val="none"/>
        </w:rPr>
        <w:t>activity—</w:t>
      </w:r>
      <w:proofErr w:type="gramEnd"/>
      <w:r w:rsidRPr="00C31CA4">
        <w:rPr>
          <w:rFonts w:eastAsia="Times New Roman" w:cstheme="minorHAnsi"/>
          <w:kern w:val="0"/>
          <w:sz w:val="28"/>
          <w:szCs w:val="28"/>
          <w14:ligatures w14:val="none"/>
        </w:rPr>
        <w:t xml:space="preserve">the case has been under consideration in court sessions and remains ongoing to this day. Over nearly three </w:t>
      </w:r>
      <w:r w:rsidRPr="00C31CA4">
        <w:rPr>
          <w:rFonts w:eastAsia="Times New Roman" w:cstheme="minorHAnsi"/>
          <w:kern w:val="0"/>
          <w:sz w:val="28"/>
          <w:szCs w:val="28"/>
          <w14:ligatures w14:val="none"/>
        </w:rPr>
        <w:lastRenderedPageBreak/>
        <w:t>years of proceedings, the court has convened approximately 18 substantive hearings, including sessions for opening the alleged seized evidence, hearing witnesses, and hearing defense arguments. These proceedings were repeatedly interrupted by adjournments—typically lasting about two months—often on administrative or security-related grounds.</w:t>
      </w:r>
    </w:p>
    <w:p w14:paraId="373E5B39" w14:textId="77777777" w:rsidR="00C31CA4" w:rsidRPr="00C31CA4" w:rsidRDefault="00C31CA4" w:rsidP="00C31CA4">
      <w:pPr>
        <w:spacing w:before="100" w:beforeAutospacing="1" w:after="100" w:afterAutospacing="1" w:line="240" w:lineRule="auto"/>
        <w:jc w:val="lowKashida"/>
        <w:rPr>
          <w:rFonts w:eastAsia="Times New Roman" w:cstheme="minorHAnsi"/>
          <w:kern w:val="0"/>
          <w:sz w:val="28"/>
          <w:szCs w:val="28"/>
          <w14:ligatures w14:val="none"/>
        </w:rPr>
      </w:pPr>
      <w:r w:rsidRPr="00C31CA4">
        <w:rPr>
          <w:rFonts w:eastAsia="Times New Roman" w:cstheme="minorHAnsi"/>
          <w:kern w:val="0"/>
          <w:sz w:val="28"/>
          <w:szCs w:val="28"/>
          <w14:ligatures w14:val="none"/>
        </w:rPr>
        <w:t>Although Egyptian criminal law does not impose a time limit on the conclusion of criminal trials, the prolongation of proceedings in this case—spanning over three years—stands in stark contradiction to the broader judicial policy and principles of the justice system, which aim at ensuring expeditious trials to achieve justice as swiftly and efficiently as possible, while safeguarding the rights of all parties. Prolonged litigation and delays in adjudication represent a violation of individuals’ rights, particularly in criminal cases.</w:t>
      </w:r>
    </w:p>
    <w:p w14:paraId="6E3E7AE3" w14:textId="77777777" w:rsidR="00C31CA4" w:rsidRPr="00C31CA4" w:rsidRDefault="00C31CA4" w:rsidP="00C31CA4">
      <w:pPr>
        <w:spacing w:before="100" w:beforeAutospacing="1" w:after="100" w:afterAutospacing="1" w:line="240" w:lineRule="auto"/>
        <w:jc w:val="lowKashida"/>
        <w:rPr>
          <w:rFonts w:eastAsia="Times New Roman" w:cstheme="minorHAnsi"/>
          <w:kern w:val="0"/>
          <w:sz w:val="28"/>
          <w:szCs w:val="28"/>
          <w14:ligatures w14:val="none"/>
        </w:rPr>
      </w:pPr>
      <w:r w:rsidRPr="00C31CA4">
        <w:rPr>
          <w:rFonts w:eastAsia="Times New Roman" w:cstheme="minorHAnsi"/>
          <w:kern w:val="0"/>
          <w:sz w:val="28"/>
          <w:szCs w:val="28"/>
          <w14:ligatures w14:val="none"/>
        </w:rPr>
        <w:t>Although Dr. Amasha’s trial has not yet concluded—the court has postponed the case to 11 October 2025 to continue hearing defense arguments—the six years of violations he has endured render his trial inconsistent with both international human rights law and the Egyptian Constitution.</w:t>
      </w:r>
    </w:p>
    <w:p w14:paraId="6DFD46DB" w14:textId="77777777" w:rsidR="00C31CA4" w:rsidRPr="00C31CA4" w:rsidRDefault="00C31CA4" w:rsidP="00C31CA4">
      <w:pPr>
        <w:spacing w:before="100" w:beforeAutospacing="1" w:after="100" w:afterAutospacing="1" w:line="240" w:lineRule="auto"/>
        <w:jc w:val="lowKashida"/>
        <w:rPr>
          <w:rFonts w:eastAsia="Times New Roman" w:cstheme="minorHAnsi"/>
          <w:kern w:val="0"/>
          <w:sz w:val="28"/>
          <w:szCs w:val="28"/>
          <w14:ligatures w14:val="none"/>
        </w:rPr>
      </w:pPr>
      <w:r w:rsidRPr="00C31CA4">
        <w:rPr>
          <w:rFonts w:eastAsia="Times New Roman" w:cstheme="minorHAnsi"/>
          <w:kern w:val="0"/>
          <w:sz w:val="28"/>
          <w:szCs w:val="28"/>
          <w14:ligatures w14:val="none"/>
        </w:rPr>
        <w:t>Accordingly, the Egyptian Commission for Rights and Freedoms (ECRF) makes the following recommendations:</w:t>
      </w:r>
    </w:p>
    <w:p w14:paraId="28942B15" w14:textId="77777777" w:rsidR="00C31CA4" w:rsidRPr="00C31CA4" w:rsidRDefault="00C31CA4" w:rsidP="00C31CA4">
      <w:pPr>
        <w:numPr>
          <w:ilvl w:val="0"/>
          <w:numId w:val="2"/>
        </w:numPr>
        <w:spacing w:before="100" w:beforeAutospacing="1" w:after="100" w:afterAutospacing="1" w:line="240" w:lineRule="auto"/>
        <w:jc w:val="lowKashida"/>
        <w:rPr>
          <w:rFonts w:eastAsia="Times New Roman" w:cstheme="minorHAnsi"/>
          <w:kern w:val="0"/>
          <w:sz w:val="28"/>
          <w:szCs w:val="28"/>
          <w14:ligatures w14:val="none"/>
        </w:rPr>
      </w:pPr>
      <w:r w:rsidRPr="00C31CA4">
        <w:rPr>
          <w:rFonts w:eastAsia="Times New Roman" w:cstheme="minorHAnsi"/>
          <w:kern w:val="0"/>
          <w:sz w:val="28"/>
          <w:szCs w:val="28"/>
          <w14:ligatures w14:val="none"/>
        </w:rPr>
        <w:t>The court should issue a decision to release Dr. Amasha pending trial and allow the proceedings to continue while he is free. Alternatively, at a minimum, he must be allowed to undergo gallbladder surgery at his own expense in a private hospital, with guarantees for his access to healthcare.</w:t>
      </w:r>
    </w:p>
    <w:p w14:paraId="57459148" w14:textId="77777777" w:rsidR="00C31CA4" w:rsidRPr="00C31CA4" w:rsidRDefault="00C31CA4" w:rsidP="00C31CA4">
      <w:pPr>
        <w:numPr>
          <w:ilvl w:val="0"/>
          <w:numId w:val="2"/>
        </w:numPr>
        <w:spacing w:before="100" w:beforeAutospacing="1" w:after="100" w:afterAutospacing="1" w:line="240" w:lineRule="auto"/>
        <w:jc w:val="lowKashida"/>
        <w:rPr>
          <w:rFonts w:eastAsia="Times New Roman" w:cstheme="minorHAnsi"/>
          <w:kern w:val="0"/>
          <w:sz w:val="28"/>
          <w:szCs w:val="28"/>
          <w14:ligatures w14:val="none"/>
        </w:rPr>
      </w:pPr>
      <w:r w:rsidRPr="00C31CA4">
        <w:rPr>
          <w:rFonts w:eastAsia="Times New Roman" w:cstheme="minorHAnsi"/>
          <w:kern w:val="0"/>
          <w:sz w:val="28"/>
          <w:szCs w:val="28"/>
          <w14:ligatures w14:val="none"/>
        </w:rPr>
        <w:t xml:space="preserve">An investigation must be </w:t>
      </w:r>
      <w:proofErr w:type="gramStart"/>
      <w:r w:rsidRPr="00C31CA4">
        <w:rPr>
          <w:rFonts w:eastAsia="Times New Roman" w:cstheme="minorHAnsi"/>
          <w:kern w:val="0"/>
          <w:sz w:val="28"/>
          <w:szCs w:val="28"/>
          <w14:ligatures w14:val="none"/>
        </w:rPr>
        <w:t>opened</w:t>
      </w:r>
      <w:proofErr w:type="gramEnd"/>
      <w:r w:rsidRPr="00C31CA4">
        <w:rPr>
          <w:rFonts w:eastAsia="Times New Roman" w:cstheme="minorHAnsi"/>
          <w:kern w:val="0"/>
          <w:sz w:val="28"/>
          <w:szCs w:val="28"/>
          <w14:ligatures w14:val="none"/>
        </w:rPr>
        <w:t xml:space="preserve"> into the enforced disappearance and torture incidents, as testified by Dr. Amasha during prosecution questioning, as well as by numerous other defendants both during prosecution investigations and in court sessions. Such investigations should ensure that perpetrators are held accountable and not granted impunity, and that provisions of the Anti-Terrorism Law that exempt security agencies and law enforcement officials from criminal liability for the use of force are repealed.</w:t>
      </w:r>
    </w:p>
    <w:p w14:paraId="22E34A07" w14:textId="77777777" w:rsidR="00C31CA4" w:rsidRPr="00C31CA4" w:rsidRDefault="00C31CA4" w:rsidP="00C31CA4">
      <w:pPr>
        <w:numPr>
          <w:ilvl w:val="0"/>
          <w:numId w:val="2"/>
        </w:numPr>
        <w:spacing w:before="100" w:beforeAutospacing="1" w:after="100" w:afterAutospacing="1" w:line="240" w:lineRule="auto"/>
        <w:jc w:val="lowKashida"/>
        <w:rPr>
          <w:rFonts w:eastAsia="Times New Roman" w:cstheme="minorHAnsi"/>
          <w:kern w:val="0"/>
          <w:sz w:val="28"/>
          <w:szCs w:val="28"/>
          <w14:ligatures w14:val="none"/>
        </w:rPr>
      </w:pPr>
      <w:r w:rsidRPr="00C31CA4">
        <w:rPr>
          <w:rFonts w:eastAsia="Times New Roman" w:cstheme="minorHAnsi"/>
          <w:kern w:val="0"/>
          <w:sz w:val="28"/>
          <w:szCs w:val="28"/>
          <w14:ligatures w14:val="none"/>
        </w:rPr>
        <w:t>The decision to include Dr. Amasha and other detainees on terrorism lists must be revoked.</w:t>
      </w:r>
    </w:p>
    <w:p w14:paraId="049BC457" w14:textId="77777777" w:rsidR="00C31CA4" w:rsidRPr="00C31CA4" w:rsidRDefault="00C31CA4" w:rsidP="00C31CA4">
      <w:pPr>
        <w:numPr>
          <w:ilvl w:val="0"/>
          <w:numId w:val="2"/>
        </w:numPr>
        <w:spacing w:before="100" w:beforeAutospacing="1" w:after="100" w:afterAutospacing="1" w:line="240" w:lineRule="auto"/>
        <w:jc w:val="lowKashida"/>
        <w:rPr>
          <w:rFonts w:eastAsia="Times New Roman" w:cstheme="minorHAnsi"/>
          <w:kern w:val="0"/>
          <w:sz w:val="28"/>
          <w:szCs w:val="28"/>
          <w14:ligatures w14:val="none"/>
        </w:rPr>
      </w:pPr>
      <w:r w:rsidRPr="00C31CA4">
        <w:rPr>
          <w:rFonts w:eastAsia="Times New Roman" w:cstheme="minorHAnsi"/>
          <w:kern w:val="0"/>
          <w:sz w:val="28"/>
          <w:szCs w:val="28"/>
          <w14:ligatures w14:val="none"/>
        </w:rPr>
        <w:t xml:space="preserve">Dr. Amasha must be granted his right to </w:t>
      </w:r>
      <w:proofErr w:type="gramStart"/>
      <w:r w:rsidRPr="00C31CA4">
        <w:rPr>
          <w:rFonts w:eastAsia="Times New Roman" w:cstheme="minorHAnsi"/>
          <w:kern w:val="0"/>
          <w:sz w:val="28"/>
          <w:szCs w:val="28"/>
          <w14:ligatures w14:val="none"/>
        </w:rPr>
        <w:t>exercise</w:t>
      </w:r>
      <w:proofErr w:type="gramEnd"/>
      <w:r w:rsidRPr="00C31CA4">
        <w:rPr>
          <w:rFonts w:eastAsia="Times New Roman" w:cstheme="minorHAnsi"/>
          <w:kern w:val="0"/>
          <w:sz w:val="28"/>
          <w:szCs w:val="28"/>
          <w14:ligatures w14:val="none"/>
        </w:rPr>
        <w:t xml:space="preserve"> and his family must be allowed visitation, in line with the provisions of the Prisons Regulation Law </w:t>
      </w:r>
      <w:r w:rsidRPr="00C31CA4">
        <w:rPr>
          <w:rFonts w:eastAsia="Times New Roman" w:cstheme="minorHAnsi"/>
          <w:kern w:val="0"/>
          <w:sz w:val="28"/>
          <w:szCs w:val="28"/>
          <w14:ligatures w14:val="none"/>
        </w:rPr>
        <w:lastRenderedPageBreak/>
        <w:t>and its executive bylaws, with full guarantees for his dignity, humane treatment, and protection from any cruel or inhuman treatment.</w:t>
      </w:r>
    </w:p>
    <w:p w14:paraId="66C7F041" w14:textId="77777777" w:rsidR="00C31CA4" w:rsidRPr="00C31CA4" w:rsidRDefault="00C31CA4" w:rsidP="00C31CA4">
      <w:pPr>
        <w:pStyle w:val="NormalWeb"/>
        <w:jc w:val="lowKashida"/>
        <w:rPr>
          <w:rFonts w:asciiTheme="minorHAnsi" w:hAnsiTheme="minorHAnsi" w:cstheme="minorHAnsi"/>
          <w:sz w:val="28"/>
          <w:szCs w:val="28"/>
          <w:rtl/>
        </w:rPr>
      </w:pPr>
    </w:p>
    <w:p w14:paraId="6C7869F1" w14:textId="77777777" w:rsidR="00C31CA4" w:rsidRPr="00C31CA4" w:rsidRDefault="00C31CA4" w:rsidP="00C31CA4">
      <w:pPr>
        <w:jc w:val="lowKashida"/>
        <w:rPr>
          <w:rFonts w:cstheme="minorHAnsi"/>
          <w:b/>
          <w:sz w:val="32"/>
          <w:szCs w:val="32"/>
        </w:rPr>
      </w:pPr>
    </w:p>
    <w:sectPr w:rsidR="00C31CA4" w:rsidRPr="00C31CA4">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7F2D3" w14:textId="77777777" w:rsidR="00701456" w:rsidRDefault="00701456" w:rsidP="00E62A0C">
      <w:pPr>
        <w:spacing w:after="0" w:line="240" w:lineRule="auto"/>
      </w:pPr>
      <w:r>
        <w:separator/>
      </w:r>
    </w:p>
  </w:endnote>
  <w:endnote w:type="continuationSeparator" w:id="0">
    <w:p w14:paraId="5D138AA8" w14:textId="77777777" w:rsidR="00701456" w:rsidRDefault="00701456" w:rsidP="00E62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Jazeera-Arabic-Bold">
    <w:panose1 w:val="01000500000000020006"/>
    <w:charset w:val="00"/>
    <w:family w:val="auto"/>
    <w:pitch w:val="variable"/>
    <w:sig w:usb0="80002003" w:usb1="80002042" w:usb2="00000008" w:usb3="00000000" w:csb0="0000004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0876648"/>
      <w:docPartObj>
        <w:docPartGallery w:val="Page Numbers (Bottom of Page)"/>
        <w:docPartUnique/>
      </w:docPartObj>
    </w:sdtPr>
    <w:sdtContent>
      <w:p w14:paraId="31696565" w14:textId="03AA880F" w:rsidR="00E62A0C" w:rsidRDefault="00E62A0C">
        <w:pPr>
          <w:pStyle w:val="Footer"/>
        </w:pPr>
        <w:r>
          <w:rPr>
            <w:noProof/>
          </w:rPr>
          <mc:AlternateContent>
            <mc:Choice Requires="wps">
              <w:drawing>
                <wp:anchor distT="0" distB="0" distL="114300" distR="114300" simplePos="0" relativeHeight="251660288" behindDoc="0" locked="0" layoutInCell="1" allowOverlap="1" wp14:anchorId="46356CE9" wp14:editId="5E1A57AB">
                  <wp:simplePos x="0" y="0"/>
                  <wp:positionH relativeFrom="margin">
                    <wp:align>center</wp:align>
                  </wp:positionH>
                  <wp:positionV relativeFrom="bottomMargin">
                    <wp:align>center</wp:align>
                  </wp:positionV>
                  <wp:extent cx="551815" cy="238760"/>
                  <wp:effectExtent l="19050" t="19050" r="19685" b="18415"/>
                  <wp:wrapNone/>
                  <wp:docPr id="2107590262" name="Double Bracke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37704485" w14:textId="77777777" w:rsidR="00E62A0C" w:rsidRPr="00E62A0C" w:rsidRDefault="00E62A0C">
                              <w:pPr>
                                <w:jc w:val="center"/>
                                <w:rPr>
                                  <w:b/>
                                  <w:bCs/>
                                </w:rPr>
                              </w:pPr>
                              <w:r w:rsidRPr="00E62A0C">
                                <w:rPr>
                                  <w:b/>
                                  <w:bCs/>
                                </w:rPr>
                                <w:fldChar w:fldCharType="begin"/>
                              </w:r>
                              <w:r w:rsidRPr="00E62A0C">
                                <w:rPr>
                                  <w:b/>
                                  <w:bCs/>
                                </w:rPr>
                                <w:instrText xml:space="preserve"> PAGE    \* MERGEFORMAT </w:instrText>
                              </w:r>
                              <w:r w:rsidRPr="00E62A0C">
                                <w:rPr>
                                  <w:b/>
                                  <w:bCs/>
                                </w:rPr>
                                <w:fldChar w:fldCharType="separate"/>
                              </w:r>
                              <w:r w:rsidRPr="00E62A0C">
                                <w:rPr>
                                  <w:b/>
                                  <w:bCs/>
                                  <w:noProof/>
                                </w:rPr>
                                <w:t>2</w:t>
                              </w:r>
                              <w:r w:rsidRPr="00E62A0C">
                                <w:rPr>
                                  <w:b/>
                                  <w:bCs/>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46356CE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 o:spid="_x0000_s1027"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" filled="t" strokecolor="gray" strokeweight="2.25pt">
                  <v:textbox inset=",0,,0">
                    <w:txbxContent>
                      <w:p w14:paraId="37704485" w14:textId="77777777" w:rsidR="00E62A0C" w:rsidRPr="00E62A0C" w:rsidRDefault="00E62A0C">
                        <w:pPr>
                          <w:jc w:val="center"/>
                          <w:rPr>
                            <w:b/>
                            <w:bCs/>
                          </w:rPr>
                        </w:pPr>
                        <w:r w:rsidRPr="00E62A0C">
                          <w:rPr>
                            <w:b/>
                            <w:bCs/>
                          </w:rPr>
                          <w:fldChar w:fldCharType="begin"/>
                        </w:r>
                        <w:r w:rsidRPr="00E62A0C">
                          <w:rPr>
                            <w:b/>
                            <w:bCs/>
                          </w:rPr>
                          <w:instrText xml:space="preserve"> PAGE    \* MERGEFORMAT </w:instrText>
                        </w:r>
                        <w:r w:rsidRPr="00E62A0C">
                          <w:rPr>
                            <w:b/>
                            <w:bCs/>
                          </w:rPr>
                          <w:fldChar w:fldCharType="separate"/>
                        </w:r>
                        <w:r w:rsidRPr="00E62A0C">
                          <w:rPr>
                            <w:b/>
                            <w:bCs/>
                            <w:noProof/>
                          </w:rPr>
                          <w:t>2</w:t>
                        </w:r>
                        <w:r w:rsidRPr="00E62A0C">
                          <w:rPr>
                            <w:b/>
                            <w:bCs/>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0AA001C3" wp14:editId="7712A762">
                  <wp:simplePos x="0" y="0"/>
                  <wp:positionH relativeFrom="margin">
                    <wp:align>center</wp:align>
                  </wp:positionH>
                  <wp:positionV relativeFrom="bottomMargin">
                    <wp:align>center</wp:align>
                  </wp:positionV>
                  <wp:extent cx="5518150" cy="0"/>
                  <wp:effectExtent l="0" t="0" r="0" b="0"/>
                  <wp:wrapNone/>
                  <wp:docPr id="141669067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ln>
                            <a:headEnd/>
                            <a:tailEnd/>
                          </a:ln>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bottomMargin">
                    <wp14:pctHeight>0</wp14:pctHeight>
                  </wp14:sizeRelV>
                </wp:anchor>
              </w:drawing>
            </mc:Choice>
            <mc:Fallback>
              <w:pict>
                <v:shapetype w14:anchorId="7E2996CF" id="_x0000_t32" coordsize="21600,21600" o:spt="32" o:oned="t" path="m,l21600,21600e" filled="f">
                  <v:path arrowok="t" fillok="f" o:connecttype="none"/>
                  <o:lock v:ext="edit" shapetype="t"/>
                </v:shapetype>
                <v:shape id="Straight Arrow Connector 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" strokecolor="#4472c4 [3204]" strokeweight="1.5pt">
                  <v:stroke joinstyle="miter"/>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385A3C" w14:textId="77777777" w:rsidR="00701456" w:rsidRDefault="00701456" w:rsidP="00E62A0C">
      <w:pPr>
        <w:spacing w:after="0" w:line="240" w:lineRule="auto"/>
      </w:pPr>
      <w:r>
        <w:separator/>
      </w:r>
    </w:p>
  </w:footnote>
  <w:footnote w:type="continuationSeparator" w:id="0">
    <w:p w14:paraId="7CBD8EBF" w14:textId="77777777" w:rsidR="00701456" w:rsidRDefault="00701456" w:rsidP="00E62A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C3183" w14:textId="74490D77" w:rsidR="00E62A0C" w:rsidRPr="00E62A0C" w:rsidRDefault="00E62A0C">
    <w:pPr>
      <w:pStyle w:val="Header"/>
      <w:rPr>
        <w:rFonts w:ascii="Al-Jazeera-Arabic-Bold" w:hAnsi="Al-Jazeera-Arabic-Bold" w:cs="Al-Jazeera-Arabic-Bold"/>
        <w:color w:val="FFFFFF" w:themeColor="background1"/>
        <w:sz w:val="28"/>
        <w:szCs w:val="28"/>
      </w:rPr>
    </w:pPr>
    <w:r w:rsidRPr="00E62A0C">
      <w:rPr>
        <w:rFonts w:ascii="Al-Jazeera-Arabic-Bold" w:hAnsi="Al-Jazeera-Arabic-Bold" w:cs="Al-Jazeera-Arabic-Bold"/>
        <w:noProof/>
        <w:color w:val="FFFFFF" w:themeColor="background1"/>
        <w:sz w:val="28"/>
        <w:szCs w:val="28"/>
      </w:rPr>
      <mc:AlternateContent>
        <mc:Choice Requires="wps">
          <w:drawing>
            <wp:anchor distT="0" distB="0" distL="118745" distR="118745" simplePos="0" relativeHeight="251662336" behindDoc="1" locked="0" layoutInCell="1" allowOverlap="0" wp14:anchorId="319695DA" wp14:editId="1CF22243">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0"/>
              <wp:wrapSquare wrapText="bothSides"/>
              <wp:docPr id="197" name="Rectangle 200"/>
              <wp:cNvGraphicFramePr/>
              <a:graphic xmlns:a="http://schemas.openxmlformats.org/drawingml/2006/main">
                <a:graphicData uri="http://schemas.microsoft.com/office/word/2010/wordprocessingShape">
                  <wps:wsp>
                    <wps:cNvSpPr/>
                    <wps:spPr>
                      <a:xfrm>
                        <a:off x="0" y="0"/>
                        <a:ext cx="5950039" cy="270457"/>
                      </a:xfrm>
                      <a:prstGeom prst="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35D34328" w14:textId="6757741D" w:rsidR="00E62A0C" w:rsidRPr="00374704" w:rsidRDefault="00374704" w:rsidP="00E62A0C">
                          <w:pPr>
                            <w:pStyle w:val="Header"/>
                            <w:bidi/>
                            <w:jc w:val="center"/>
                            <w:rPr>
                              <w:rFonts w:ascii="Al-Jazeera-Arabic-Bold" w:hAnsi="Al-Jazeera-Arabic-Bold" w:cs="Al-Jazeera-Arabic-Bold"/>
                              <w:caps/>
                              <w:color w:val="FFFFFF" w:themeColor="background1"/>
                              <w:sz w:val="20"/>
                              <w:szCs w:val="20"/>
                              <w:lang w:val="en"/>
                            </w:rPr>
                          </w:pPr>
                          <w:r w:rsidRPr="00374704">
                            <w:rPr>
                              <w:rStyle w:val="Strong"/>
                              <w:rFonts w:eastAsiaTheme="majorEastAsia" w:cstheme="minorHAnsi"/>
                              <w:sz w:val="28"/>
                              <w:szCs w:val="28"/>
                            </w:rPr>
                            <w:t>Joining a Terrorist Organization and Listing on Terrorism Lists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19695DA" id="Rectangle 200" o:spid="_x0000_s1026" style="position:absolute;margin-left:0;margin-top:0;width:468.5pt;height:21.3pt;z-index:-251654144;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" o:allowoverlap="f" fillcolor="#2967a1 [2152]" stroked="f">
              <v:fill color2="#9cc2e5 [1944]" rotate="t" angle="180" colors="0 #2a69a2;31457f #609ed6;1 #9dc3e6" focus="100%" type="gradient"/>
              <v:textbox style="mso-fit-shape-to-text:t">
                <w:txbxContent>
                  <w:p w14:paraId="35D34328" w14:textId="6757741D" w:rsidR="00E62A0C" w:rsidRPr="00374704" w:rsidRDefault="00374704" w:rsidP="00E62A0C">
                    <w:pPr>
                      <w:pStyle w:val="Header"/>
                      <w:bidi/>
                      <w:jc w:val="center"/>
                      <w:rPr>
                        <w:rFonts w:ascii="Al-Jazeera-Arabic-Bold" w:hAnsi="Al-Jazeera-Arabic-Bold" w:cs="Al-Jazeera-Arabic-Bold"/>
                        <w:caps/>
                        <w:color w:val="FFFFFF" w:themeColor="background1"/>
                        <w:sz w:val="20"/>
                        <w:szCs w:val="20"/>
                        <w:lang w:val="en"/>
                      </w:rPr>
                    </w:pPr>
                    <w:r w:rsidRPr="00374704">
                      <w:rPr>
                        <w:rStyle w:val="Strong"/>
                        <w:rFonts w:eastAsiaTheme="majorEastAsia" w:cstheme="minorHAnsi"/>
                        <w:sz w:val="28"/>
                        <w:szCs w:val="28"/>
                      </w:rPr>
                      <w:t>Joining a Terrorist Organization and Listing on Terrorism Lists</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5D62C8"/>
    <w:multiLevelType w:val="multilevel"/>
    <w:tmpl w:val="BABE8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4EF7177"/>
    <w:multiLevelType w:val="multilevel"/>
    <w:tmpl w:val="7C46F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52202191">
    <w:abstractNumId w:val="0"/>
  </w:num>
  <w:num w:numId="2" w16cid:durableId="3828676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A0C"/>
    <w:rsid w:val="0002035D"/>
    <w:rsid w:val="000336D1"/>
    <w:rsid w:val="000D65AB"/>
    <w:rsid w:val="000E6F12"/>
    <w:rsid w:val="00120BE9"/>
    <w:rsid w:val="0026731D"/>
    <w:rsid w:val="002A4C54"/>
    <w:rsid w:val="002B77BB"/>
    <w:rsid w:val="002C79A0"/>
    <w:rsid w:val="00357399"/>
    <w:rsid w:val="00374704"/>
    <w:rsid w:val="004F27B2"/>
    <w:rsid w:val="00557178"/>
    <w:rsid w:val="005E2DFF"/>
    <w:rsid w:val="00652F75"/>
    <w:rsid w:val="00701456"/>
    <w:rsid w:val="009143B1"/>
    <w:rsid w:val="00967C8B"/>
    <w:rsid w:val="00A70702"/>
    <w:rsid w:val="00C31CA4"/>
    <w:rsid w:val="00C8787A"/>
    <w:rsid w:val="00C94E7F"/>
    <w:rsid w:val="00D53302"/>
    <w:rsid w:val="00E62A0C"/>
    <w:rsid w:val="00EA0C2D"/>
    <w:rsid w:val="00ED38E8"/>
    <w:rsid w:val="00F61B5A"/>
    <w:rsid w:val="00F62C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0E06C1"/>
  <w15:chartTrackingRefBased/>
  <w15:docId w15:val="{774B6927-19CD-44CB-8FB1-BE59730A0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2A0C"/>
    <w:pPr>
      <w:keepNext/>
      <w:keepLines/>
      <w:bidi/>
      <w:spacing w:before="360" w:after="80"/>
      <w:outlineLvl w:val="0"/>
    </w:pPr>
    <w:rPr>
      <w:rFonts w:ascii="Al-Jazeera-Arabic-Bold" w:eastAsiaTheme="majorEastAsia" w:hAnsi="Al-Jazeera-Arabic-Bold" w:cs="Al-Jazeera-Arabic-Bold"/>
      <w:b/>
      <w:bCs/>
      <w:color w:val="2F5496" w:themeColor="accent1" w:themeShade="BF"/>
      <w:sz w:val="40"/>
      <w:szCs w:val="40"/>
    </w:rPr>
  </w:style>
  <w:style w:type="paragraph" w:styleId="Heading2">
    <w:name w:val="heading 2"/>
    <w:basedOn w:val="Normal"/>
    <w:next w:val="Normal"/>
    <w:link w:val="Heading2Char"/>
    <w:uiPriority w:val="9"/>
    <w:unhideWhenUsed/>
    <w:rsid w:val="000E6F12"/>
    <w:pPr>
      <w:keepNext/>
      <w:keepLines/>
      <w:spacing w:before="160" w:after="80"/>
      <w:outlineLvl w:val="1"/>
    </w:pPr>
    <w:rPr>
      <w:rFonts w:ascii="Al-Jazeera-Arabic-Bold" w:eastAsiaTheme="majorEastAsia" w:hAnsi="Al-Jazeera-Arabic-Bold" w:cstheme="majorBidi"/>
      <w:b/>
      <w:color w:val="2F5496" w:themeColor="accent1" w:themeShade="BF"/>
      <w:sz w:val="32"/>
      <w:szCs w:val="32"/>
    </w:rPr>
  </w:style>
  <w:style w:type="paragraph" w:styleId="Heading3">
    <w:name w:val="heading 3"/>
    <w:basedOn w:val="Normal"/>
    <w:next w:val="Normal"/>
    <w:link w:val="Heading3Char"/>
    <w:uiPriority w:val="9"/>
    <w:unhideWhenUsed/>
    <w:qFormat/>
    <w:rsid w:val="00A70702"/>
    <w:pPr>
      <w:keepNext/>
      <w:keepLines/>
      <w:spacing w:before="160" w:after="80"/>
      <w:outlineLvl w:val="2"/>
    </w:pPr>
    <w:rPr>
      <w:rFonts w:eastAsiaTheme="majorEastAsia" w:cstheme="majorBidi"/>
      <w:b/>
      <w:color w:val="2F5496" w:themeColor="accent1" w:themeShade="BF"/>
      <w:sz w:val="28"/>
      <w:szCs w:val="28"/>
    </w:rPr>
  </w:style>
  <w:style w:type="paragraph" w:styleId="Heading4">
    <w:name w:val="heading 4"/>
    <w:basedOn w:val="Normal"/>
    <w:next w:val="Normal"/>
    <w:link w:val="Heading4Char"/>
    <w:uiPriority w:val="9"/>
    <w:semiHidden/>
    <w:unhideWhenUsed/>
    <w:qFormat/>
    <w:rsid w:val="00E62A0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62A0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62A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2A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2A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2A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2A0C"/>
    <w:rPr>
      <w:rFonts w:ascii="Al-Jazeera-Arabic-Bold" w:eastAsiaTheme="majorEastAsia" w:hAnsi="Al-Jazeera-Arabic-Bold" w:cs="Al-Jazeera-Arabic-Bold"/>
      <w:b/>
      <w:bCs/>
      <w:color w:val="2F5496" w:themeColor="accent1" w:themeShade="BF"/>
      <w:sz w:val="40"/>
      <w:szCs w:val="40"/>
    </w:rPr>
  </w:style>
  <w:style w:type="character" w:customStyle="1" w:styleId="Heading2Char">
    <w:name w:val="Heading 2 Char"/>
    <w:basedOn w:val="DefaultParagraphFont"/>
    <w:link w:val="Heading2"/>
    <w:uiPriority w:val="9"/>
    <w:rsid w:val="000E6F12"/>
    <w:rPr>
      <w:rFonts w:ascii="Al-Jazeera-Arabic-Bold" w:eastAsiaTheme="majorEastAsia" w:hAnsi="Al-Jazeera-Arabic-Bold" w:cstheme="majorBidi"/>
      <w:b/>
      <w:color w:val="2F5496" w:themeColor="accent1" w:themeShade="BF"/>
      <w:sz w:val="32"/>
      <w:szCs w:val="32"/>
    </w:rPr>
  </w:style>
  <w:style w:type="character" w:customStyle="1" w:styleId="Heading3Char">
    <w:name w:val="Heading 3 Char"/>
    <w:basedOn w:val="DefaultParagraphFont"/>
    <w:link w:val="Heading3"/>
    <w:uiPriority w:val="9"/>
    <w:rsid w:val="00A70702"/>
    <w:rPr>
      <w:rFonts w:eastAsiaTheme="majorEastAsia" w:cstheme="majorBidi"/>
      <w:b/>
      <w:color w:val="2F5496" w:themeColor="accent1" w:themeShade="BF"/>
      <w:sz w:val="28"/>
      <w:szCs w:val="28"/>
    </w:rPr>
  </w:style>
  <w:style w:type="character" w:customStyle="1" w:styleId="Heading4Char">
    <w:name w:val="Heading 4 Char"/>
    <w:basedOn w:val="DefaultParagraphFont"/>
    <w:link w:val="Heading4"/>
    <w:uiPriority w:val="9"/>
    <w:semiHidden/>
    <w:rsid w:val="00E62A0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62A0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62A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2A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2A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2A0C"/>
    <w:rPr>
      <w:rFonts w:eastAsiaTheme="majorEastAsia" w:cstheme="majorBidi"/>
      <w:color w:val="272727" w:themeColor="text1" w:themeTint="D8"/>
    </w:rPr>
  </w:style>
  <w:style w:type="paragraph" w:styleId="Title">
    <w:name w:val="Title"/>
    <w:basedOn w:val="Normal"/>
    <w:next w:val="Normal"/>
    <w:link w:val="TitleChar"/>
    <w:uiPriority w:val="10"/>
    <w:qFormat/>
    <w:rsid w:val="00E62A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2A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2A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2A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2A0C"/>
    <w:pPr>
      <w:spacing w:before="160"/>
      <w:jc w:val="center"/>
    </w:pPr>
    <w:rPr>
      <w:i/>
      <w:iCs/>
      <w:color w:val="404040" w:themeColor="text1" w:themeTint="BF"/>
    </w:rPr>
  </w:style>
  <w:style w:type="character" w:customStyle="1" w:styleId="QuoteChar">
    <w:name w:val="Quote Char"/>
    <w:basedOn w:val="DefaultParagraphFont"/>
    <w:link w:val="Quote"/>
    <w:uiPriority w:val="29"/>
    <w:rsid w:val="00E62A0C"/>
    <w:rPr>
      <w:i/>
      <w:iCs/>
      <w:color w:val="404040" w:themeColor="text1" w:themeTint="BF"/>
    </w:rPr>
  </w:style>
  <w:style w:type="paragraph" w:styleId="ListParagraph">
    <w:name w:val="List Paragraph"/>
    <w:basedOn w:val="Normal"/>
    <w:uiPriority w:val="34"/>
    <w:qFormat/>
    <w:rsid w:val="00E62A0C"/>
    <w:pPr>
      <w:ind w:left="720"/>
      <w:contextualSpacing/>
    </w:pPr>
  </w:style>
  <w:style w:type="character" w:styleId="IntenseEmphasis">
    <w:name w:val="Intense Emphasis"/>
    <w:basedOn w:val="DefaultParagraphFont"/>
    <w:uiPriority w:val="21"/>
    <w:qFormat/>
    <w:rsid w:val="00E62A0C"/>
    <w:rPr>
      <w:i/>
      <w:iCs/>
      <w:color w:val="2F5496" w:themeColor="accent1" w:themeShade="BF"/>
    </w:rPr>
  </w:style>
  <w:style w:type="paragraph" w:styleId="IntenseQuote">
    <w:name w:val="Intense Quote"/>
    <w:basedOn w:val="Normal"/>
    <w:next w:val="Normal"/>
    <w:link w:val="IntenseQuoteChar"/>
    <w:uiPriority w:val="30"/>
    <w:qFormat/>
    <w:rsid w:val="00E62A0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62A0C"/>
    <w:rPr>
      <w:i/>
      <w:iCs/>
      <w:color w:val="2F5496" w:themeColor="accent1" w:themeShade="BF"/>
    </w:rPr>
  </w:style>
  <w:style w:type="character" w:styleId="IntenseReference">
    <w:name w:val="Intense Reference"/>
    <w:basedOn w:val="DefaultParagraphFont"/>
    <w:uiPriority w:val="32"/>
    <w:qFormat/>
    <w:rsid w:val="00E62A0C"/>
    <w:rPr>
      <w:b/>
      <w:bCs/>
      <w:smallCaps/>
      <w:color w:val="2F5496" w:themeColor="accent1" w:themeShade="BF"/>
      <w:spacing w:val="5"/>
    </w:rPr>
  </w:style>
  <w:style w:type="character" w:styleId="Hyperlink">
    <w:name w:val="Hyperlink"/>
    <w:basedOn w:val="DefaultParagraphFont"/>
    <w:uiPriority w:val="99"/>
    <w:unhideWhenUsed/>
    <w:rsid w:val="00E62A0C"/>
    <w:rPr>
      <w:color w:val="0563C1" w:themeColor="hyperlink"/>
      <w:u w:val="single"/>
    </w:rPr>
  </w:style>
  <w:style w:type="paragraph" w:styleId="Header">
    <w:name w:val="header"/>
    <w:basedOn w:val="Normal"/>
    <w:link w:val="HeaderChar"/>
    <w:uiPriority w:val="99"/>
    <w:unhideWhenUsed/>
    <w:rsid w:val="00E62A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A0C"/>
  </w:style>
  <w:style w:type="paragraph" w:styleId="Footer">
    <w:name w:val="footer"/>
    <w:basedOn w:val="Normal"/>
    <w:link w:val="FooterChar"/>
    <w:uiPriority w:val="99"/>
    <w:unhideWhenUsed/>
    <w:rsid w:val="00E62A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A0C"/>
  </w:style>
  <w:style w:type="paragraph" w:customStyle="1" w:styleId="heee">
    <w:name w:val="heee"/>
    <w:basedOn w:val="Normal"/>
    <w:link w:val="heeeChar"/>
    <w:qFormat/>
    <w:rsid w:val="00E62A0C"/>
    <w:pPr>
      <w:bidi/>
      <w:jc w:val="lowKashida"/>
    </w:pPr>
    <w:rPr>
      <w:rFonts w:ascii="Al-Jazeera-Arabic-Bold" w:hAnsi="Al-Jazeera-Arabic-Bold" w:cs="Al-Jazeera-Arabic-Bold"/>
      <w:b/>
      <w:color w:val="1F3864" w:themeColor="accent1" w:themeShade="80"/>
      <w:sz w:val="36"/>
      <w:szCs w:val="36"/>
    </w:rPr>
  </w:style>
  <w:style w:type="character" w:customStyle="1" w:styleId="heeeChar">
    <w:name w:val="heee Char"/>
    <w:basedOn w:val="DefaultParagraphFont"/>
    <w:link w:val="heee"/>
    <w:rsid w:val="00E62A0C"/>
    <w:rPr>
      <w:rFonts w:ascii="Al-Jazeera-Arabic-Bold" w:hAnsi="Al-Jazeera-Arabic-Bold" w:cs="Al-Jazeera-Arabic-Bold"/>
      <w:b/>
      <w:color w:val="1F3864" w:themeColor="accent1" w:themeShade="80"/>
      <w:sz w:val="36"/>
      <w:szCs w:val="36"/>
    </w:rPr>
  </w:style>
  <w:style w:type="paragraph" w:styleId="TOCHeading">
    <w:name w:val="TOC Heading"/>
    <w:basedOn w:val="Heading1"/>
    <w:next w:val="Normal"/>
    <w:uiPriority w:val="39"/>
    <w:unhideWhenUsed/>
    <w:qFormat/>
    <w:rsid w:val="00E62A0C"/>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E62A0C"/>
    <w:pPr>
      <w:spacing w:after="100"/>
    </w:pPr>
  </w:style>
  <w:style w:type="paragraph" w:customStyle="1" w:styleId="Headng">
    <w:name w:val="Headng"/>
    <w:basedOn w:val="Heading1"/>
    <w:link w:val="HeadngChar"/>
    <w:rsid w:val="00E62A0C"/>
    <w:rPr>
      <w:sz w:val="36"/>
      <w:szCs w:val="36"/>
    </w:rPr>
  </w:style>
  <w:style w:type="character" w:customStyle="1" w:styleId="HeadngChar">
    <w:name w:val="Headng Char"/>
    <w:basedOn w:val="Heading1Char"/>
    <w:link w:val="Headng"/>
    <w:rsid w:val="00E62A0C"/>
    <w:rPr>
      <w:rFonts w:ascii="Al-Jazeera-Arabic-Bold" w:eastAsiaTheme="majorEastAsia" w:hAnsi="Al-Jazeera-Arabic-Bold" w:cs="Al-Jazeera-Arabic-Bold"/>
      <w:b/>
      <w:bCs/>
      <w:color w:val="2F5496" w:themeColor="accent1" w:themeShade="BF"/>
      <w:sz w:val="36"/>
      <w:szCs w:val="36"/>
    </w:rPr>
  </w:style>
  <w:style w:type="paragraph" w:customStyle="1" w:styleId="Headng2">
    <w:name w:val="Headng 2"/>
    <w:basedOn w:val="Heading2"/>
    <w:link w:val="Headng2Char"/>
    <w:rsid w:val="000E6F12"/>
    <w:pPr>
      <w:bidi/>
    </w:pPr>
    <w:rPr>
      <w:rFonts w:cs="Al-Jazeera-Arabic-Bold"/>
    </w:rPr>
  </w:style>
  <w:style w:type="character" w:customStyle="1" w:styleId="Headng2Char">
    <w:name w:val="Headng 2 Char"/>
    <w:basedOn w:val="Heading2Char"/>
    <w:link w:val="Headng2"/>
    <w:rsid w:val="000E6F12"/>
    <w:rPr>
      <w:rFonts w:ascii="Al-Jazeera-Arabic-Bold" w:eastAsiaTheme="majorEastAsia" w:hAnsi="Al-Jazeera-Arabic-Bold" w:cs="Al-Jazeera-Arabic-Bold"/>
      <w:b/>
      <w:color w:val="2F5496" w:themeColor="accent1" w:themeShade="BF"/>
      <w:sz w:val="32"/>
      <w:szCs w:val="32"/>
    </w:rPr>
  </w:style>
  <w:style w:type="paragraph" w:styleId="TOC2">
    <w:name w:val="toc 2"/>
    <w:basedOn w:val="Normal"/>
    <w:next w:val="Normal"/>
    <w:autoRedefine/>
    <w:uiPriority w:val="39"/>
    <w:unhideWhenUsed/>
    <w:rsid w:val="000E6F12"/>
    <w:pPr>
      <w:spacing w:after="100"/>
      <w:ind w:left="240"/>
    </w:pPr>
  </w:style>
  <w:style w:type="paragraph" w:styleId="NormalWeb">
    <w:name w:val="Normal (Web)"/>
    <w:basedOn w:val="Normal"/>
    <w:link w:val="NormalWebChar"/>
    <w:uiPriority w:val="99"/>
    <w:unhideWhenUsed/>
    <w:rsid w:val="00C31CA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C31CA4"/>
    <w:rPr>
      <w:b/>
      <w:bCs/>
    </w:rPr>
  </w:style>
  <w:style w:type="character" w:styleId="Emphasis">
    <w:name w:val="Emphasis"/>
    <w:basedOn w:val="DefaultParagraphFont"/>
    <w:uiPriority w:val="20"/>
    <w:qFormat/>
    <w:rsid w:val="00C31CA4"/>
    <w:rPr>
      <w:i/>
      <w:iCs/>
    </w:rPr>
  </w:style>
  <w:style w:type="paragraph" w:customStyle="1" w:styleId="Headiing1">
    <w:name w:val="Headiing 1"/>
    <w:basedOn w:val="NormalWeb"/>
    <w:link w:val="Headiing1Char"/>
    <w:qFormat/>
    <w:rsid w:val="004F27B2"/>
    <w:pPr>
      <w:jc w:val="lowKashida"/>
    </w:pPr>
    <w:rPr>
      <w:rFonts w:asciiTheme="minorHAnsi" w:eastAsiaTheme="majorEastAsia" w:hAnsiTheme="minorHAnsi" w:cstheme="minorHAnsi"/>
      <w:b/>
      <w:color w:val="0070C0"/>
      <w:sz w:val="28"/>
      <w:szCs w:val="28"/>
    </w:rPr>
  </w:style>
  <w:style w:type="character" w:customStyle="1" w:styleId="NormalWebChar">
    <w:name w:val="Normal (Web) Char"/>
    <w:basedOn w:val="DefaultParagraphFont"/>
    <w:link w:val="NormalWeb"/>
    <w:uiPriority w:val="99"/>
    <w:rsid w:val="002B77BB"/>
    <w:rPr>
      <w:rFonts w:ascii="Times New Roman" w:eastAsia="Times New Roman" w:hAnsi="Times New Roman" w:cs="Times New Roman"/>
      <w:kern w:val="0"/>
      <w14:ligatures w14:val="none"/>
    </w:rPr>
  </w:style>
  <w:style w:type="character" w:customStyle="1" w:styleId="Headiing1Char">
    <w:name w:val="Headiing 1 Char"/>
    <w:basedOn w:val="NormalWebChar"/>
    <w:link w:val="Headiing1"/>
    <w:rsid w:val="004F27B2"/>
    <w:rPr>
      <w:rFonts w:ascii="Times New Roman" w:eastAsiaTheme="majorEastAsia" w:hAnsi="Times New Roman" w:cstheme="minorHAnsi"/>
      <w:b/>
      <w:color w:val="0070C0"/>
      <w:kern w:val="0"/>
      <w:sz w:val="28"/>
      <w:szCs w:val="28"/>
      <w14:ligatures w14:val="none"/>
    </w:rPr>
  </w:style>
  <w:style w:type="paragraph" w:styleId="TOC3">
    <w:name w:val="toc 3"/>
    <w:basedOn w:val="Normal"/>
    <w:next w:val="Normal"/>
    <w:autoRedefine/>
    <w:uiPriority w:val="39"/>
    <w:unhideWhenUsed/>
    <w:rsid w:val="004F27B2"/>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إجراءات تعسفية وغياب ضمانات المحاكمة العادلة</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E9EF6A-26FC-4BFF-BD36-953F5D663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13787</Words>
  <Characters>78591</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Imad Al Din Hamied</dc:creator>
  <cp:keywords/>
  <dc:description/>
  <cp:lastModifiedBy>Imad Al Din Hamied</cp:lastModifiedBy>
  <cp:revision>5</cp:revision>
  <cp:lastPrinted>2025-09-15T17:11:00Z</cp:lastPrinted>
  <dcterms:created xsi:type="dcterms:W3CDTF">2025-09-15T16:31:00Z</dcterms:created>
  <dcterms:modified xsi:type="dcterms:W3CDTF">2025-09-15T17:12:00Z</dcterms:modified>
</cp:coreProperties>
</file>