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8F0E0" w14:textId="3393933E" w:rsidR="00A526C2" w:rsidRPr="00A526C2" w:rsidRDefault="00A526C2">
      <w:pPr>
        <w:bidi/>
        <w:spacing w:line="276" w:lineRule="auto"/>
        <w:jc w:val="center"/>
        <w:rPr>
          <w:rFonts w:ascii="Calibri" w:eastAsia="Calibri" w:hAnsi="Calibri" w:cs="Calibri"/>
          <w:b/>
          <w:bCs/>
          <w:sz w:val="40"/>
          <w:szCs w:val="40"/>
          <w:rtl/>
        </w:rPr>
      </w:pPr>
      <w:r w:rsidRPr="00A526C2">
        <w:rPr>
          <w:rFonts w:ascii="Calibri" w:eastAsia="Calibri" w:hAnsi="Calibri" w:cs="Calibri" w:hint="cs"/>
          <w:b/>
          <w:bCs/>
          <w:sz w:val="40"/>
          <w:szCs w:val="40"/>
          <w:rtl/>
        </w:rPr>
        <w:t>سلطات واسعة تثير تساؤلات حول حماية اللاجئين وحقوق الإنسان</w:t>
      </w:r>
    </w:p>
    <w:p w14:paraId="22E67C5B" w14:textId="77777777" w:rsidR="00A526C2" w:rsidRDefault="00A526C2" w:rsidP="00A526C2">
      <w:pPr>
        <w:bidi/>
        <w:spacing w:line="276" w:lineRule="auto"/>
        <w:jc w:val="center"/>
        <w:rPr>
          <w:rFonts w:ascii="Calibri" w:eastAsia="Calibri" w:hAnsi="Calibri" w:cs="Calibri"/>
          <w:b/>
          <w:bCs/>
          <w:sz w:val="32"/>
          <w:szCs w:val="32"/>
          <w:rtl/>
        </w:rPr>
      </w:pPr>
    </w:p>
    <w:p w14:paraId="00000001" w14:textId="1B7539AA" w:rsidR="00C4221C" w:rsidRDefault="00A526C2" w:rsidP="00A526C2">
      <w:pPr>
        <w:bidi/>
        <w:spacing w:line="276" w:lineRule="auto"/>
        <w:jc w:val="center"/>
        <w:rPr>
          <w:rFonts w:ascii="Calibri" w:eastAsia="Calibri" w:hAnsi="Calibri" w:cs="Calibri"/>
          <w:b/>
          <w:bCs/>
          <w:sz w:val="32"/>
          <w:szCs w:val="32"/>
        </w:rPr>
      </w:pPr>
      <w:r>
        <w:rPr>
          <w:rFonts w:ascii="Calibri" w:eastAsia="Calibri" w:hAnsi="Calibri" w:cs="Calibri" w:hint="cs"/>
          <w:b/>
          <w:bCs/>
          <w:sz w:val="32"/>
          <w:szCs w:val="32"/>
          <w:rtl/>
        </w:rPr>
        <w:t>تعليق قانوني</w:t>
      </w:r>
      <w:r w:rsidR="00000000">
        <w:rPr>
          <w:rFonts w:ascii="Calibri" w:eastAsia="Calibri" w:hAnsi="Calibri" w:cs="Calibri"/>
          <w:b/>
          <w:bCs/>
          <w:sz w:val="32"/>
          <w:szCs w:val="32"/>
          <w:rtl/>
        </w:rPr>
        <w:t xml:space="preserve"> على اللائحة التنفيذية لقانون لجوء الأجانب رقم 164 لسنة 2024</w:t>
      </w:r>
    </w:p>
    <w:p w14:paraId="00000002" w14:textId="77777777" w:rsidR="00C4221C" w:rsidRDefault="00000000">
      <w:pPr>
        <w:bidi/>
        <w:spacing w:line="276" w:lineRule="auto"/>
        <w:jc w:val="center"/>
        <w:rPr>
          <w:rFonts w:ascii="Calibri" w:eastAsia="Calibri" w:hAnsi="Calibri" w:cs="Calibri"/>
          <w:sz w:val="28"/>
          <w:szCs w:val="28"/>
          <w:u w:val="single"/>
        </w:rPr>
      </w:pPr>
      <w:r>
        <w:rPr>
          <w:rFonts w:ascii="Calibri" w:eastAsia="Calibri" w:hAnsi="Calibri" w:cs="Calibri"/>
          <w:sz w:val="28"/>
          <w:szCs w:val="28"/>
          <w:u w:val="single"/>
          <w:rtl/>
        </w:rPr>
        <w:t>والصادرة بموجب قرار رئيس مجلس الوزراء رقم 1568 لسنة 2026</w:t>
      </w:r>
    </w:p>
    <w:p w14:paraId="00000003" w14:textId="4336EFAD" w:rsidR="00C4221C" w:rsidRDefault="00000000">
      <w:pPr>
        <w:bidi/>
        <w:spacing w:before="240" w:line="276" w:lineRule="auto"/>
        <w:jc w:val="both"/>
        <w:rPr>
          <w:rFonts w:ascii="Calibri" w:eastAsia="Calibri" w:hAnsi="Calibri" w:cs="Calibri"/>
        </w:rPr>
      </w:pPr>
      <w:r>
        <w:rPr>
          <w:rFonts w:ascii="Calibri" w:eastAsia="Calibri" w:hAnsi="Calibri" w:cs="Calibri"/>
          <w:rtl/>
        </w:rPr>
        <w:t xml:space="preserve">منذ عامين صدر قانون تنظيم شئون اللاجئين </w:t>
      </w:r>
      <w:r w:rsidR="00A526C2">
        <w:rPr>
          <w:rFonts w:ascii="Calibri" w:eastAsia="Calibri" w:hAnsi="Calibri" w:cs="Calibri" w:hint="cs"/>
          <w:rtl/>
        </w:rPr>
        <w:t>في</w:t>
      </w:r>
      <w:r>
        <w:rPr>
          <w:rFonts w:ascii="Calibri" w:eastAsia="Calibri" w:hAnsi="Calibri" w:cs="Calibri"/>
          <w:rtl/>
        </w:rPr>
        <w:t xml:space="preserve"> مصر "القانون رقم 164 لسنة 2024"، وقد أصدرت المفوضية المصرية للحقوق والحريات تعليقا على القانون يتضمن المخاوف وتحليلا قانونيا واجتماعيا لهذا التشريع وما يشمله من المميزات أو التضييق وفق واقع اللاجئين.</w:t>
      </w:r>
      <w:r>
        <w:rPr>
          <w:rFonts w:ascii="Calibri" w:eastAsia="Calibri" w:hAnsi="Calibri" w:cs="Calibri"/>
          <w:vertAlign w:val="superscript"/>
        </w:rPr>
        <w:footnoteReference w:id="1"/>
      </w:r>
    </w:p>
    <w:p w14:paraId="00000004" w14:textId="77777777" w:rsidR="00C4221C" w:rsidRDefault="00000000">
      <w:pPr>
        <w:bidi/>
        <w:spacing w:line="276" w:lineRule="auto"/>
        <w:jc w:val="both"/>
        <w:rPr>
          <w:rFonts w:ascii="Calibri" w:eastAsia="Calibri" w:hAnsi="Calibri" w:cs="Calibri"/>
        </w:rPr>
      </w:pPr>
      <w:r>
        <w:rPr>
          <w:rFonts w:ascii="Calibri" w:eastAsia="Calibri" w:hAnsi="Calibri" w:cs="Calibri"/>
          <w:rtl/>
        </w:rPr>
        <w:t>الآن قد صدرت اللائحة التنفيذية لهذا القانون بعد انتظار، بعد مراجعة اللائحة التنفيذية، يمكن القول إنها جاءت أكثر تفصيلاً من القانون نفسه، وأدخلت عدداً من الضمانات الإجرائية التي كانت غائبة أو غير واضحة في قانون 164 لسنة 2024، لكنها في الوقت نفسه كرّست بعض الإشكاليات البنيوية الموجودة في القانون، وأعطت الإدارة سلطات واسعة قد تثير تساؤلات من منظور حماية اللاجئين وحقوق الإنسان.</w:t>
      </w:r>
    </w:p>
    <w:p w14:paraId="00000005" w14:textId="77777777" w:rsidR="00C4221C" w:rsidRDefault="00000000">
      <w:pPr>
        <w:bidi/>
        <w:rPr>
          <w:rFonts w:ascii="Calibri" w:eastAsia="Calibri" w:hAnsi="Calibri" w:cs="Calibri"/>
          <w:b/>
          <w:bCs/>
          <w:color w:val="EE0000"/>
        </w:rPr>
      </w:pPr>
      <w:r>
        <w:rPr>
          <w:rFonts w:ascii="Calibri" w:eastAsia="Calibri" w:hAnsi="Calibri" w:cs="Calibri"/>
          <w:b/>
          <w:bCs/>
          <w:color w:val="EE0000"/>
          <w:rtl/>
        </w:rPr>
        <w:t>الإطار المرجعي للتحليل</w:t>
      </w:r>
    </w:p>
    <w:p w14:paraId="00000006" w14:textId="77777777" w:rsidR="00C4221C" w:rsidRDefault="00000000">
      <w:pPr>
        <w:bidi/>
        <w:jc w:val="both"/>
        <w:rPr>
          <w:rFonts w:ascii="Calibri" w:eastAsia="Calibri" w:hAnsi="Calibri" w:cs="Calibri"/>
        </w:rPr>
      </w:pPr>
      <w:r>
        <w:rPr>
          <w:rFonts w:ascii="Calibri" w:eastAsia="Calibri" w:hAnsi="Calibri" w:cs="Calibri"/>
          <w:rtl/>
        </w:rPr>
        <w:t>عملت المفوضية المصرية للحقوق والحريات على تحليل القانون ولائحته التنفيذية من منظور قانون اللاجئين الدولي، وحقوق الإنسان، والضمانات الإجرائية الواجبة، حيث يُقاس أي نظام لجوء عادة على ضوء:</w:t>
      </w:r>
    </w:p>
    <w:p w14:paraId="00000007" w14:textId="77777777" w:rsidR="00C4221C" w:rsidRDefault="00000000">
      <w:pPr>
        <w:numPr>
          <w:ilvl w:val="0"/>
          <w:numId w:val="3"/>
        </w:numPr>
        <w:pBdr>
          <w:top w:val="nil"/>
          <w:left w:val="nil"/>
          <w:bottom w:val="nil"/>
          <w:right w:val="nil"/>
          <w:between w:val="nil"/>
        </w:pBdr>
        <w:bidi/>
        <w:spacing w:after="0"/>
        <w:rPr>
          <w:rFonts w:ascii="Calibri" w:eastAsia="Calibri" w:hAnsi="Calibri" w:cs="Calibri"/>
          <w:color w:val="000000"/>
        </w:rPr>
      </w:pPr>
      <w:r>
        <w:rPr>
          <w:rFonts w:ascii="Calibri" w:eastAsia="Calibri" w:hAnsi="Calibri" w:cs="Calibri"/>
          <w:color w:val="000000"/>
          <w:rtl/>
        </w:rPr>
        <w:t>المفوضية السامية للأمم المتحدة لشئون اللاجئين (</w:t>
      </w:r>
      <w:r>
        <w:rPr>
          <w:rFonts w:ascii="Calibri" w:eastAsia="Calibri" w:hAnsi="Calibri" w:cs="Calibri"/>
          <w:color w:val="000000"/>
        </w:rPr>
        <w:t>UNHCR</w:t>
      </w:r>
      <w:r>
        <w:rPr>
          <w:rFonts w:ascii="Calibri" w:eastAsia="Calibri" w:hAnsi="Calibri" w:cs="Calibri"/>
          <w:color w:val="000000"/>
          <w:rtl/>
        </w:rPr>
        <w:t>) ومعاييرها الإجرائية</w:t>
      </w:r>
    </w:p>
    <w:p w14:paraId="00000008" w14:textId="77777777" w:rsidR="00C4221C" w:rsidRDefault="00000000">
      <w:pPr>
        <w:numPr>
          <w:ilvl w:val="0"/>
          <w:numId w:val="3"/>
        </w:numPr>
        <w:pBdr>
          <w:top w:val="nil"/>
          <w:left w:val="nil"/>
          <w:bottom w:val="nil"/>
          <w:right w:val="nil"/>
          <w:between w:val="nil"/>
        </w:pBdr>
        <w:bidi/>
        <w:spacing w:after="0"/>
        <w:rPr>
          <w:rFonts w:ascii="Calibri" w:eastAsia="Calibri" w:hAnsi="Calibri" w:cs="Calibri"/>
          <w:color w:val="000000"/>
        </w:rPr>
      </w:pPr>
      <w:r>
        <w:rPr>
          <w:rFonts w:ascii="Calibri" w:eastAsia="Calibri" w:hAnsi="Calibri" w:cs="Calibri"/>
          <w:color w:val="000000"/>
        </w:rPr>
        <w:t>Convention Relating to the Status of Refugees</w:t>
      </w:r>
    </w:p>
    <w:p w14:paraId="00000009" w14:textId="77777777" w:rsidR="00C4221C" w:rsidRDefault="00000000">
      <w:pPr>
        <w:numPr>
          <w:ilvl w:val="0"/>
          <w:numId w:val="3"/>
        </w:numPr>
        <w:pBdr>
          <w:top w:val="nil"/>
          <w:left w:val="nil"/>
          <w:bottom w:val="nil"/>
          <w:right w:val="nil"/>
          <w:between w:val="nil"/>
        </w:pBdr>
        <w:bidi/>
        <w:spacing w:after="0"/>
        <w:rPr>
          <w:rFonts w:ascii="Calibri" w:eastAsia="Calibri" w:hAnsi="Calibri" w:cs="Calibri"/>
          <w:color w:val="000000"/>
        </w:rPr>
      </w:pPr>
      <w:r>
        <w:rPr>
          <w:rFonts w:ascii="Calibri" w:eastAsia="Calibri" w:hAnsi="Calibri" w:cs="Calibri"/>
          <w:color w:val="000000"/>
        </w:rPr>
        <w:t>Protocol Relating to the Status of Refugees</w:t>
      </w:r>
    </w:p>
    <w:p w14:paraId="0000000A" w14:textId="77777777" w:rsidR="00C4221C" w:rsidRDefault="00000000">
      <w:pPr>
        <w:numPr>
          <w:ilvl w:val="0"/>
          <w:numId w:val="3"/>
        </w:numPr>
        <w:pBdr>
          <w:top w:val="nil"/>
          <w:left w:val="nil"/>
          <w:bottom w:val="nil"/>
          <w:right w:val="nil"/>
          <w:between w:val="nil"/>
        </w:pBdr>
        <w:bidi/>
        <w:spacing w:after="0"/>
        <w:rPr>
          <w:rFonts w:ascii="Calibri" w:eastAsia="Calibri" w:hAnsi="Calibri" w:cs="Calibri"/>
          <w:color w:val="000000"/>
        </w:rPr>
      </w:pPr>
      <w:r>
        <w:rPr>
          <w:rFonts w:ascii="Calibri" w:eastAsia="Calibri" w:hAnsi="Calibri" w:cs="Calibri"/>
          <w:color w:val="000000"/>
          <w:rtl/>
        </w:rPr>
        <w:t>مبدأ عدم الإعادة القسرية (</w:t>
      </w:r>
      <w:r>
        <w:rPr>
          <w:rFonts w:ascii="Calibri" w:eastAsia="Calibri" w:hAnsi="Calibri" w:cs="Calibri"/>
          <w:color w:val="000000"/>
        </w:rPr>
        <w:t>Non-Refoulement</w:t>
      </w:r>
      <w:r>
        <w:rPr>
          <w:rFonts w:ascii="Calibri" w:eastAsia="Calibri" w:hAnsi="Calibri" w:cs="Calibri"/>
          <w:color w:val="000000"/>
          <w:rtl/>
        </w:rPr>
        <w:t xml:space="preserve">)  </w:t>
      </w:r>
    </w:p>
    <w:p w14:paraId="0000000B" w14:textId="77777777" w:rsidR="00C4221C" w:rsidRDefault="00000000">
      <w:pPr>
        <w:numPr>
          <w:ilvl w:val="0"/>
          <w:numId w:val="3"/>
        </w:numPr>
        <w:pBdr>
          <w:top w:val="nil"/>
          <w:left w:val="nil"/>
          <w:bottom w:val="nil"/>
          <w:right w:val="nil"/>
          <w:between w:val="nil"/>
        </w:pBdr>
        <w:bidi/>
        <w:spacing w:after="0"/>
        <w:rPr>
          <w:rFonts w:ascii="Calibri" w:eastAsia="Calibri" w:hAnsi="Calibri" w:cs="Calibri"/>
          <w:color w:val="000000"/>
        </w:rPr>
      </w:pPr>
      <w:r>
        <w:rPr>
          <w:rFonts w:ascii="Calibri" w:eastAsia="Calibri" w:hAnsi="Calibri" w:cs="Calibri"/>
          <w:color w:val="000000"/>
          <w:rtl/>
        </w:rPr>
        <w:t>الحق في الإجراءات العادلة</w:t>
      </w:r>
    </w:p>
    <w:p w14:paraId="0000000C" w14:textId="77777777" w:rsidR="00C4221C" w:rsidRDefault="00000000">
      <w:pPr>
        <w:numPr>
          <w:ilvl w:val="0"/>
          <w:numId w:val="3"/>
        </w:numPr>
        <w:pBdr>
          <w:top w:val="nil"/>
          <w:left w:val="nil"/>
          <w:bottom w:val="nil"/>
          <w:right w:val="nil"/>
          <w:between w:val="nil"/>
        </w:pBdr>
        <w:bidi/>
        <w:spacing w:after="0"/>
        <w:rPr>
          <w:rFonts w:ascii="Calibri" w:eastAsia="Calibri" w:hAnsi="Calibri" w:cs="Calibri"/>
          <w:color w:val="000000"/>
        </w:rPr>
      </w:pPr>
      <w:r>
        <w:rPr>
          <w:rFonts w:ascii="Calibri" w:eastAsia="Calibri" w:hAnsi="Calibri" w:cs="Calibri"/>
          <w:color w:val="000000"/>
          <w:rtl/>
        </w:rPr>
        <w:t>مبدأ التناسب</w:t>
      </w:r>
    </w:p>
    <w:p w14:paraId="0000000D" w14:textId="77777777" w:rsidR="00C4221C" w:rsidRDefault="00000000">
      <w:pPr>
        <w:numPr>
          <w:ilvl w:val="0"/>
          <w:numId w:val="3"/>
        </w:numPr>
        <w:pBdr>
          <w:top w:val="nil"/>
          <w:left w:val="nil"/>
          <w:bottom w:val="nil"/>
          <w:right w:val="nil"/>
          <w:between w:val="nil"/>
        </w:pBdr>
        <w:bidi/>
        <w:spacing w:after="0"/>
        <w:rPr>
          <w:rFonts w:ascii="Calibri" w:eastAsia="Calibri" w:hAnsi="Calibri" w:cs="Calibri"/>
          <w:color w:val="000000"/>
        </w:rPr>
      </w:pPr>
      <w:r>
        <w:rPr>
          <w:rFonts w:ascii="Calibri" w:eastAsia="Calibri" w:hAnsi="Calibri" w:cs="Calibri"/>
          <w:color w:val="000000"/>
          <w:rtl/>
        </w:rPr>
        <w:t>مبدأ المصلحة الفضلى للطفل</w:t>
      </w:r>
    </w:p>
    <w:p w14:paraId="0000000E" w14:textId="77777777" w:rsidR="00C4221C" w:rsidRDefault="00000000">
      <w:pPr>
        <w:numPr>
          <w:ilvl w:val="0"/>
          <w:numId w:val="3"/>
        </w:numPr>
        <w:pBdr>
          <w:top w:val="nil"/>
          <w:left w:val="nil"/>
          <w:bottom w:val="nil"/>
          <w:right w:val="nil"/>
          <w:between w:val="nil"/>
        </w:pBdr>
        <w:bidi/>
        <w:spacing w:after="0"/>
        <w:rPr>
          <w:rFonts w:ascii="Calibri" w:eastAsia="Calibri" w:hAnsi="Calibri" w:cs="Calibri"/>
          <w:color w:val="000000"/>
        </w:rPr>
      </w:pPr>
      <w:r>
        <w:rPr>
          <w:rFonts w:ascii="Calibri" w:eastAsia="Calibri" w:hAnsi="Calibri" w:cs="Calibri"/>
          <w:color w:val="000000"/>
          <w:rtl/>
        </w:rPr>
        <w:t>الحق في الخصوصية وحماية البيانات</w:t>
      </w:r>
    </w:p>
    <w:p w14:paraId="0000000F" w14:textId="77777777" w:rsidR="00C4221C" w:rsidRDefault="00000000">
      <w:pPr>
        <w:numPr>
          <w:ilvl w:val="0"/>
          <w:numId w:val="3"/>
        </w:numPr>
        <w:pBdr>
          <w:top w:val="nil"/>
          <w:left w:val="nil"/>
          <w:bottom w:val="nil"/>
          <w:right w:val="nil"/>
          <w:between w:val="nil"/>
        </w:pBdr>
        <w:bidi/>
        <w:rPr>
          <w:rFonts w:ascii="Calibri" w:eastAsia="Calibri" w:hAnsi="Calibri" w:cs="Calibri"/>
          <w:color w:val="000000"/>
        </w:rPr>
      </w:pPr>
      <w:r>
        <w:rPr>
          <w:rFonts w:ascii="Calibri" w:eastAsia="Calibri" w:hAnsi="Calibri" w:cs="Calibri"/>
          <w:color w:val="000000"/>
          <w:rtl/>
        </w:rPr>
        <w:t>الحق في الطعن الفعال والانصاف القضائي</w:t>
      </w:r>
    </w:p>
    <w:p w14:paraId="7A49EB0A" w14:textId="77777777" w:rsidR="00A526C2" w:rsidRDefault="00A526C2" w:rsidP="00A526C2">
      <w:pPr>
        <w:pBdr>
          <w:top w:val="nil"/>
          <w:left w:val="nil"/>
          <w:bottom w:val="nil"/>
          <w:right w:val="nil"/>
          <w:between w:val="nil"/>
        </w:pBdr>
        <w:bidi/>
        <w:ind w:left="720"/>
        <w:rPr>
          <w:rFonts w:ascii="Calibri" w:eastAsia="Calibri" w:hAnsi="Calibri" w:cs="Calibri"/>
          <w:color w:val="000000"/>
          <w:rtl/>
        </w:rPr>
      </w:pPr>
    </w:p>
    <w:p w14:paraId="69758974" w14:textId="77777777" w:rsidR="00A526C2" w:rsidRDefault="00A526C2" w:rsidP="00A526C2">
      <w:pPr>
        <w:pBdr>
          <w:top w:val="nil"/>
          <w:left w:val="nil"/>
          <w:bottom w:val="nil"/>
          <w:right w:val="nil"/>
          <w:between w:val="nil"/>
        </w:pBdr>
        <w:bidi/>
        <w:ind w:left="720"/>
        <w:rPr>
          <w:rFonts w:ascii="Calibri" w:eastAsia="Calibri" w:hAnsi="Calibri" w:cs="Calibri"/>
          <w:color w:val="000000"/>
          <w:rtl/>
        </w:rPr>
      </w:pPr>
    </w:p>
    <w:p w14:paraId="403D223D" w14:textId="77777777" w:rsidR="00A526C2" w:rsidRDefault="00A526C2" w:rsidP="00A526C2">
      <w:pPr>
        <w:pBdr>
          <w:top w:val="nil"/>
          <w:left w:val="nil"/>
          <w:bottom w:val="nil"/>
          <w:right w:val="nil"/>
          <w:between w:val="nil"/>
        </w:pBdr>
        <w:bidi/>
        <w:ind w:left="720"/>
        <w:rPr>
          <w:rFonts w:ascii="Calibri" w:eastAsia="Calibri" w:hAnsi="Calibri" w:cs="Calibri"/>
          <w:color w:val="000000"/>
          <w:rtl/>
        </w:rPr>
      </w:pPr>
    </w:p>
    <w:p w14:paraId="256D6E75" w14:textId="77777777" w:rsidR="00A526C2" w:rsidRDefault="00A526C2" w:rsidP="00A526C2">
      <w:pPr>
        <w:pBdr>
          <w:top w:val="nil"/>
          <w:left w:val="nil"/>
          <w:bottom w:val="nil"/>
          <w:right w:val="nil"/>
          <w:between w:val="nil"/>
        </w:pBdr>
        <w:bidi/>
        <w:ind w:left="720"/>
        <w:rPr>
          <w:rFonts w:ascii="Calibri" w:eastAsia="Calibri" w:hAnsi="Calibri" w:cs="Calibri"/>
          <w:color w:val="000000"/>
        </w:rPr>
      </w:pPr>
    </w:p>
    <w:p w14:paraId="00000010" w14:textId="77777777" w:rsidR="00C4221C" w:rsidRDefault="00000000">
      <w:pPr>
        <w:shd w:val="clear" w:color="auto" w:fill="D9D9D9"/>
        <w:bidi/>
        <w:spacing w:before="240" w:line="276" w:lineRule="auto"/>
        <w:jc w:val="center"/>
        <w:rPr>
          <w:rFonts w:ascii="Calibri" w:eastAsia="Calibri" w:hAnsi="Calibri" w:cs="Calibri"/>
          <w:b/>
          <w:bCs/>
          <w:color w:val="000000"/>
          <w:sz w:val="28"/>
          <w:szCs w:val="28"/>
        </w:rPr>
      </w:pPr>
      <w:r>
        <w:rPr>
          <w:rFonts w:ascii="Calibri" w:eastAsia="Calibri" w:hAnsi="Calibri" w:cs="Calibri"/>
          <w:b/>
          <w:bCs/>
          <w:color w:val="000000"/>
          <w:sz w:val="28"/>
          <w:szCs w:val="28"/>
          <w:rtl/>
        </w:rPr>
        <w:t>أولاً: التقييم العام</w:t>
      </w:r>
    </w:p>
    <w:p w14:paraId="00000011" w14:textId="600A7D0A" w:rsidR="00C4221C" w:rsidRDefault="00000000">
      <w:pPr>
        <w:bidi/>
        <w:spacing w:before="240"/>
        <w:rPr>
          <w:rFonts w:ascii="Calibri" w:eastAsia="Calibri" w:hAnsi="Calibri" w:cs="Calibri"/>
          <w:b/>
          <w:bCs/>
          <w:color w:val="EE0000"/>
        </w:rPr>
      </w:pPr>
      <w:r>
        <w:rPr>
          <w:rFonts w:ascii="Calibri" w:eastAsia="Calibri" w:hAnsi="Calibri" w:cs="Calibri"/>
          <w:b/>
          <w:bCs/>
          <w:color w:val="EE0000"/>
          <w:rtl/>
        </w:rPr>
        <w:t xml:space="preserve">المحاور الرئيسية للانتقادات الواردة </w:t>
      </w:r>
      <w:r w:rsidR="00A526C2">
        <w:rPr>
          <w:rFonts w:ascii="Calibri" w:eastAsia="Calibri" w:hAnsi="Calibri" w:cs="Calibri" w:hint="cs"/>
          <w:b/>
          <w:bCs/>
          <w:color w:val="EE0000"/>
          <w:rtl/>
        </w:rPr>
        <w:t>على</w:t>
      </w:r>
      <w:r>
        <w:rPr>
          <w:rFonts w:ascii="Calibri" w:eastAsia="Calibri" w:hAnsi="Calibri" w:cs="Calibri"/>
          <w:b/>
          <w:bCs/>
          <w:color w:val="EE0000"/>
          <w:rtl/>
        </w:rPr>
        <w:t xml:space="preserve"> القانون</w:t>
      </w:r>
    </w:p>
    <w:p w14:paraId="00000012" w14:textId="77777777" w:rsidR="00C4221C" w:rsidRDefault="00000000">
      <w:pPr>
        <w:bidi/>
        <w:rPr>
          <w:rFonts w:ascii="Calibri" w:eastAsia="Calibri" w:hAnsi="Calibri" w:cs="Calibri"/>
          <w:b/>
          <w:bCs/>
        </w:rPr>
      </w:pPr>
      <w:r>
        <w:rPr>
          <w:rFonts w:ascii="Calibri" w:eastAsia="Calibri" w:hAnsi="Calibri" w:cs="Calibri"/>
          <w:b/>
          <w:bCs/>
          <w:rtl/>
        </w:rPr>
        <w:t>استقلالية منظومة اللجوء</w:t>
      </w:r>
    </w:p>
    <w:p w14:paraId="00000013" w14:textId="77777777" w:rsidR="00C4221C" w:rsidRDefault="00000000">
      <w:pPr>
        <w:bidi/>
        <w:jc w:val="both"/>
        <w:rPr>
          <w:rFonts w:ascii="Calibri" w:eastAsia="Calibri" w:hAnsi="Calibri" w:cs="Calibri"/>
        </w:rPr>
      </w:pPr>
      <w:r>
        <w:rPr>
          <w:rFonts w:ascii="Calibri" w:eastAsia="Calibri" w:hAnsi="Calibri" w:cs="Calibri"/>
          <w:rtl/>
        </w:rPr>
        <w:t>اللجنة الدائمة لشؤون اللاجئين ليست هيئة مستقلة، حيث تبعيتها لرئيس مجلس الوزراء تسمح بتأثر قراراتها بالسياسات الحكومية، مع غياب الضمانات المؤسسية للاستقلال، وغياب الرقابة المستقلة الفعالة على قراراتها.</w:t>
      </w:r>
    </w:p>
    <w:p w14:paraId="00000014" w14:textId="77777777" w:rsidR="00C4221C" w:rsidRDefault="00000000">
      <w:pPr>
        <w:bidi/>
        <w:rPr>
          <w:rFonts w:ascii="Calibri" w:eastAsia="Calibri" w:hAnsi="Calibri" w:cs="Calibri"/>
          <w:b/>
          <w:bCs/>
          <w:sz w:val="28"/>
          <w:szCs w:val="28"/>
        </w:rPr>
      </w:pPr>
      <w:r>
        <w:rPr>
          <w:rFonts w:ascii="Calibri" w:eastAsia="Calibri" w:hAnsi="Calibri" w:cs="Calibri"/>
          <w:b/>
          <w:bCs/>
          <w:rtl/>
        </w:rPr>
        <w:t>هيمنة المقاربة الأمنية</w:t>
      </w:r>
    </w:p>
    <w:p w14:paraId="00000015" w14:textId="77777777" w:rsidR="00C4221C" w:rsidRDefault="00000000">
      <w:pPr>
        <w:bidi/>
        <w:jc w:val="both"/>
        <w:rPr>
          <w:rFonts w:ascii="Calibri" w:eastAsia="Calibri" w:hAnsi="Calibri" w:cs="Calibri"/>
        </w:rPr>
      </w:pPr>
      <w:r>
        <w:rPr>
          <w:rFonts w:ascii="Calibri" w:eastAsia="Calibri" w:hAnsi="Calibri" w:cs="Calibri"/>
          <w:rtl/>
        </w:rPr>
        <w:t>سيطرة وزارات الداخلية والخارجية والعدل والمالية على تشكيل اللجنة، مع غياب ممثلين عن: الحماية الاجتماعية، الصحة، المجتمع المدني، والجهات المتخصصة في شؤون اللجوء، بالإضافة إلى التخوف من تغليب اعتبارات الأمن على الحماية الدولية.</w:t>
      </w:r>
    </w:p>
    <w:p w14:paraId="00000016" w14:textId="77777777" w:rsidR="00C4221C" w:rsidRDefault="00000000">
      <w:pPr>
        <w:bidi/>
        <w:rPr>
          <w:rFonts w:ascii="Calibri" w:eastAsia="Calibri" w:hAnsi="Calibri" w:cs="Calibri"/>
          <w:b/>
          <w:bCs/>
        </w:rPr>
      </w:pPr>
      <w:r>
        <w:rPr>
          <w:rFonts w:ascii="Calibri" w:eastAsia="Calibri" w:hAnsi="Calibri" w:cs="Calibri"/>
          <w:b/>
          <w:bCs/>
          <w:rtl/>
        </w:rPr>
        <w:t>ضعف الخبرة الفنية</w:t>
      </w:r>
    </w:p>
    <w:p w14:paraId="00000017" w14:textId="369A5C19" w:rsidR="00C4221C" w:rsidRDefault="00000000">
      <w:pPr>
        <w:bidi/>
        <w:jc w:val="both"/>
        <w:rPr>
          <w:rFonts w:ascii="Calibri" w:eastAsia="Calibri" w:hAnsi="Calibri" w:cs="Calibri"/>
        </w:rPr>
      </w:pPr>
      <w:r>
        <w:rPr>
          <w:rFonts w:ascii="Calibri" w:eastAsia="Calibri" w:hAnsi="Calibri" w:cs="Calibri"/>
          <w:rtl/>
        </w:rPr>
        <w:t xml:space="preserve">عدم اشتراط وجود متخصصين في اللجوء والهجرة، مع إمكانية إسناد العمل التنفيذي لموظفين منتدبين بلا خبرة متخصصة، </w:t>
      </w:r>
      <w:r w:rsidR="00A526C2">
        <w:rPr>
          <w:rFonts w:ascii="Calibri" w:eastAsia="Calibri" w:hAnsi="Calibri" w:cs="Calibri" w:hint="cs"/>
          <w:rtl/>
        </w:rPr>
        <w:t>في</w:t>
      </w:r>
      <w:r>
        <w:rPr>
          <w:rFonts w:ascii="Calibri" w:eastAsia="Calibri" w:hAnsi="Calibri" w:cs="Calibri"/>
          <w:rtl/>
        </w:rPr>
        <w:t xml:space="preserve"> ظل عدم وجود نص ملزم بالتدريب أو التأهيل.</w:t>
      </w:r>
    </w:p>
    <w:p w14:paraId="00000018" w14:textId="77777777" w:rsidR="00C4221C" w:rsidRDefault="00000000">
      <w:pPr>
        <w:bidi/>
        <w:rPr>
          <w:rFonts w:ascii="Calibri" w:eastAsia="Calibri" w:hAnsi="Calibri" w:cs="Calibri"/>
          <w:b/>
          <w:bCs/>
        </w:rPr>
      </w:pPr>
      <w:r>
        <w:rPr>
          <w:rFonts w:ascii="Calibri" w:eastAsia="Calibri" w:hAnsi="Calibri" w:cs="Calibri"/>
          <w:b/>
          <w:bCs/>
          <w:rtl/>
        </w:rPr>
        <w:t>تقليص دور مفوضية الأمم المتحدة لشؤون اللاجئين</w:t>
      </w:r>
    </w:p>
    <w:p w14:paraId="00000019" w14:textId="77777777" w:rsidR="00C4221C" w:rsidRDefault="00000000">
      <w:pPr>
        <w:bidi/>
        <w:jc w:val="both"/>
        <w:rPr>
          <w:rFonts w:ascii="Calibri" w:eastAsia="Calibri" w:hAnsi="Calibri" w:cs="Calibri"/>
        </w:rPr>
      </w:pPr>
      <w:r>
        <w:rPr>
          <w:rFonts w:ascii="Calibri" w:eastAsia="Calibri" w:hAnsi="Calibri" w:cs="Calibri"/>
          <w:rtl/>
        </w:rPr>
        <w:t>نقل اختصاصات التسجيل والبت في طلبات اللجوء من المفوضية إلى اللجنة، وهو احتمال التعارض مع مذكرة التفاهم المطبقة منذ 1954، مع التخوف من فقدان الضمانات الدولية المرتبطة بإجراءات تحديد صفة اللاجئ.</w:t>
      </w:r>
    </w:p>
    <w:p w14:paraId="0000001A" w14:textId="77777777" w:rsidR="00C4221C" w:rsidRDefault="00000000">
      <w:pPr>
        <w:bidi/>
        <w:rPr>
          <w:rFonts w:ascii="Calibri" w:eastAsia="Calibri" w:hAnsi="Calibri" w:cs="Calibri"/>
          <w:b/>
          <w:bCs/>
        </w:rPr>
      </w:pPr>
      <w:r>
        <w:rPr>
          <w:rFonts w:ascii="Calibri" w:eastAsia="Calibri" w:hAnsi="Calibri" w:cs="Calibri"/>
          <w:b/>
          <w:bCs/>
          <w:rtl/>
        </w:rPr>
        <w:t>إجراءات طلب اللجوء</w:t>
      </w:r>
    </w:p>
    <w:p w14:paraId="0000001B" w14:textId="77777777" w:rsidR="00C4221C" w:rsidRDefault="00000000">
      <w:pPr>
        <w:bidi/>
        <w:jc w:val="both"/>
        <w:rPr>
          <w:rFonts w:ascii="Calibri" w:eastAsia="Calibri" w:hAnsi="Calibri" w:cs="Calibri"/>
        </w:rPr>
      </w:pPr>
      <w:r>
        <w:rPr>
          <w:rFonts w:ascii="Calibri" w:eastAsia="Calibri" w:hAnsi="Calibri" w:cs="Calibri"/>
          <w:rtl/>
        </w:rPr>
        <w:t>طول مدد الفصل في الطلبات، التمييز بين الداخل بصورة نظامية وغير نظامية، عدم وضوح المركز القانوني لطالب اللجوء أثناء انتظار القرار، عدم وضوح حقوقه خلال فترة الانتظار أيضا.</w:t>
      </w:r>
    </w:p>
    <w:p w14:paraId="0000001C" w14:textId="77777777" w:rsidR="00C4221C" w:rsidRDefault="00000000">
      <w:pPr>
        <w:bidi/>
        <w:rPr>
          <w:rFonts w:ascii="Calibri" w:eastAsia="Calibri" w:hAnsi="Calibri" w:cs="Calibri"/>
          <w:b/>
          <w:bCs/>
        </w:rPr>
      </w:pPr>
      <w:proofErr w:type="gramStart"/>
      <w:r>
        <w:rPr>
          <w:rFonts w:ascii="Calibri" w:eastAsia="Calibri" w:hAnsi="Calibri" w:cs="Calibri"/>
          <w:b/>
          <w:bCs/>
          <w:rtl/>
        </w:rPr>
        <w:t>مخاطر</w:t>
      </w:r>
      <w:proofErr w:type="gramEnd"/>
      <w:r>
        <w:rPr>
          <w:rFonts w:ascii="Calibri" w:eastAsia="Calibri" w:hAnsi="Calibri" w:cs="Calibri"/>
          <w:b/>
          <w:bCs/>
          <w:rtl/>
        </w:rPr>
        <w:t xml:space="preserve"> الإبعاد والترحيل</w:t>
      </w:r>
    </w:p>
    <w:p w14:paraId="0000001D" w14:textId="77777777" w:rsidR="00C4221C" w:rsidRDefault="00000000">
      <w:pPr>
        <w:bidi/>
        <w:jc w:val="both"/>
        <w:rPr>
          <w:rFonts w:ascii="Calibri" w:eastAsia="Calibri" w:hAnsi="Calibri" w:cs="Calibri"/>
        </w:rPr>
      </w:pPr>
      <w:r>
        <w:rPr>
          <w:rFonts w:ascii="Calibri" w:eastAsia="Calibri" w:hAnsi="Calibri" w:cs="Calibri"/>
          <w:rtl/>
        </w:rPr>
        <w:t>منح اللجنة سلطة طلب الإبعاد بعد رفض الطلب مع إمكانية اتخاذ تدابير أثناء نظر الطلب بدعوى الأمن القومي أو النظام العام، كذلك التخوف من مخالفة مبدأ عدم الإعادة القسرية (</w:t>
      </w:r>
      <w:r>
        <w:rPr>
          <w:rFonts w:ascii="Calibri" w:eastAsia="Calibri" w:hAnsi="Calibri" w:cs="Calibri"/>
        </w:rPr>
        <w:t>Non-Refoulement</w:t>
      </w:r>
      <w:r>
        <w:rPr>
          <w:rFonts w:ascii="Calibri" w:eastAsia="Calibri" w:hAnsi="Calibri" w:cs="Calibri"/>
          <w:rtl/>
        </w:rPr>
        <w:t xml:space="preserve">) </w:t>
      </w:r>
    </w:p>
    <w:p w14:paraId="0000001E" w14:textId="77777777" w:rsidR="00C4221C" w:rsidRDefault="00000000">
      <w:pPr>
        <w:bidi/>
        <w:rPr>
          <w:rFonts w:ascii="Calibri" w:eastAsia="Calibri" w:hAnsi="Calibri" w:cs="Calibri"/>
          <w:b/>
          <w:bCs/>
        </w:rPr>
      </w:pPr>
      <w:r>
        <w:rPr>
          <w:rFonts w:ascii="Calibri" w:eastAsia="Calibri" w:hAnsi="Calibri" w:cs="Calibri"/>
          <w:b/>
          <w:bCs/>
          <w:rtl/>
        </w:rPr>
        <w:t>استخدام مفاهيم فضفاضة</w:t>
      </w:r>
    </w:p>
    <w:p w14:paraId="0000001F" w14:textId="77777777" w:rsidR="00C4221C" w:rsidRDefault="00000000">
      <w:pPr>
        <w:bidi/>
        <w:jc w:val="both"/>
        <w:rPr>
          <w:rFonts w:ascii="Calibri" w:eastAsia="Calibri" w:hAnsi="Calibri" w:cs="Calibri"/>
        </w:rPr>
      </w:pPr>
      <w:r>
        <w:rPr>
          <w:rFonts w:ascii="Calibri" w:eastAsia="Calibri" w:hAnsi="Calibri" w:cs="Calibri"/>
          <w:rtl/>
        </w:rPr>
        <w:t>المصطلحات التي نعتبرها الأكثر خطورة: الأمن القومي، النظام العام، الظروف الاستثنائية، مكافحة الإرهاب، وذلك بسبب: عدم تعريفها قانونياً، إمكانية استخدامها بصورة واسعة أو تعسفية، وإمكانية توظيفها لتقييد الحقوق أو إسقاط صفة اللاجئ.</w:t>
      </w:r>
    </w:p>
    <w:p w14:paraId="00000020" w14:textId="77777777" w:rsidR="00C4221C" w:rsidRDefault="00000000">
      <w:pPr>
        <w:bidi/>
        <w:rPr>
          <w:rFonts w:ascii="Calibri" w:eastAsia="Calibri" w:hAnsi="Calibri" w:cs="Calibri"/>
          <w:b/>
          <w:bCs/>
        </w:rPr>
      </w:pPr>
      <w:r>
        <w:rPr>
          <w:rFonts w:ascii="Calibri" w:eastAsia="Calibri" w:hAnsi="Calibri" w:cs="Calibri"/>
          <w:b/>
          <w:bCs/>
          <w:rtl/>
        </w:rPr>
        <w:t>إسقاط صفة اللاجئ</w:t>
      </w:r>
    </w:p>
    <w:p w14:paraId="00000021" w14:textId="77777777" w:rsidR="00C4221C" w:rsidRDefault="00000000">
      <w:pPr>
        <w:bidi/>
        <w:rPr>
          <w:rFonts w:ascii="Calibri" w:eastAsia="Calibri" w:hAnsi="Calibri" w:cs="Calibri"/>
        </w:rPr>
      </w:pPr>
      <w:r>
        <w:rPr>
          <w:rFonts w:ascii="Calibri" w:eastAsia="Calibri" w:hAnsi="Calibri" w:cs="Calibri"/>
          <w:rtl/>
        </w:rPr>
        <w:t>إمكانية إسقاط الصفة بسبب أفعال مرتبطة بالأمن القومي أو النظام العام، مع عدم وجود معايير دقيقة مما يزيد الخشية من تحويل الحماية إلى وضع غير مستقر قانونياً.</w:t>
      </w:r>
    </w:p>
    <w:p w14:paraId="00000022" w14:textId="77777777" w:rsidR="00C4221C" w:rsidRDefault="00000000">
      <w:pPr>
        <w:bidi/>
        <w:rPr>
          <w:rFonts w:ascii="Calibri" w:eastAsia="Calibri" w:hAnsi="Calibri" w:cs="Calibri"/>
          <w:b/>
          <w:bCs/>
        </w:rPr>
      </w:pPr>
      <w:r>
        <w:rPr>
          <w:rFonts w:ascii="Calibri" w:eastAsia="Calibri" w:hAnsi="Calibri" w:cs="Calibri"/>
          <w:b/>
          <w:bCs/>
          <w:rtl/>
        </w:rPr>
        <w:lastRenderedPageBreak/>
        <w:t>الطعن القضائي</w:t>
      </w:r>
    </w:p>
    <w:p w14:paraId="00000023" w14:textId="77777777" w:rsidR="00C4221C" w:rsidRDefault="00000000">
      <w:pPr>
        <w:bidi/>
        <w:rPr>
          <w:rFonts w:ascii="Calibri" w:eastAsia="Calibri" w:hAnsi="Calibri" w:cs="Calibri"/>
        </w:rPr>
      </w:pPr>
      <w:r>
        <w:rPr>
          <w:rFonts w:ascii="Calibri" w:eastAsia="Calibri" w:hAnsi="Calibri" w:cs="Calibri"/>
          <w:rtl/>
        </w:rPr>
        <w:t>الاقتصار على الطعن أمام القضاء الإداري، مع بطء الإجراءات وصعوبة الوصول للقضاء بالنسبة للاجئين، وعدم وجود وقف تلقائي لقرارات الإبعاد أثناء نظر الطعن، وغياب دوائر متخصصة في قضايا اللجوء.</w:t>
      </w:r>
    </w:p>
    <w:p w14:paraId="00000024" w14:textId="77777777" w:rsidR="00C4221C" w:rsidRDefault="00000000">
      <w:pPr>
        <w:bidi/>
        <w:rPr>
          <w:rFonts w:ascii="Calibri" w:eastAsia="Calibri" w:hAnsi="Calibri" w:cs="Calibri"/>
          <w:b/>
          <w:bCs/>
        </w:rPr>
      </w:pPr>
      <w:r>
        <w:rPr>
          <w:rFonts w:ascii="Calibri" w:eastAsia="Calibri" w:hAnsi="Calibri" w:cs="Calibri"/>
          <w:b/>
          <w:bCs/>
          <w:rtl/>
        </w:rPr>
        <w:t>الحقوق الاقتصادية والاجتماعية</w:t>
      </w:r>
    </w:p>
    <w:p w14:paraId="00000025" w14:textId="6C21446B" w:rsidR="00C4221C" w:rsidRDefault="00000000">
      <w:pPr>
        <w:bidi/>
        <w:jc w:val="both"/>
        <w:rPr>
          <w:rFonts w:ascii="Calibri" w:eastAsia="Calibri" w:hAnsi="Calibri" w:cs="Calibri"/>
        </w:rPr>
      </w:pPr>
      <w:r>
        <w:rPr>
          <w:rFonts w:ascii="Calibri" w:eastAsia="Calibri" w:hAnsi="Calibri" w:cs="Calibri"/>
          <w:rtl/>
        </w:rPr>
        <w:t xml:space="preserve">رغم النص على: التعليم/ الصحة/ العمل/ التنقل/ التقاضي/ تكوين الجمعيات، فإنها مجرد حقوق قد وردت بصورة </w:t>
      </w:r>
      <w:r w:rsidR="00A526C2">
        <w:rPr>
          <w:rFonts w:ascii="Calibri" w:eastAsia="Calibri" w:hAnsi="Calibri" w:cs="Calibri" w:hint="cs"/>
          <w:rtl/>
        </w:rPr>
        <w:t>إنشائية، ولا</w:t>
      </w:r>
      <w:r>
        <w:rPr>
          <w:rFonts w:ascii="Calibri" w:eastAsia="Calibri" w:hAnsi="Calibri" w:cs="Calibri"/>
          <w:rtl/>
        </w:rPr>
        <w:t xml:space="preserve"> توجد آليات تنفيذ واضحة، كما لا توجد ضمانات مالية أو مؤسسية للتطبيق.  </w:t>
      </w:r>
    </w:p>
    <w:p w14:paraId="00000026" w14:textId="77777777" w:rsidR="00C4221C" w:rsidRDefault="00000000">
      <w:pPr>
        <w:bidi/>
        <w:rPr>
          <w:rFonts w:ascii="Calibri" w:eastAsia="Calibri" w:hAnsi="Calibri" w:cs="Calibri"/>
          <w:b/>
          <w:bCs/>
        </w:rPr>
      </w:pPr>
      <w:r>
        <w:rPr>
          <w:rFonts w:ascii="Calibri" w:eastAsia="Calibri" w:hAnsi="Calibri" w:cs="Calibri"/>
          <w:b/>
          <w:bCs/>
          <w:rtl/>
        </w:rPr>
        <w:t>التعارض مع تشريعات أخرى</w:t>
      </w:r>
    </w:p>
    <w:p w14:paraId="00000027" w14:textId="77777777" w:rsidR="00C4221C" w:rsidRDefault="00000000">
      <w:pPr>
        <w:bidi/>
        <w:jc w:val="both"/>
        <w:rPr>
          <w:rFonts w:ascii="Calibri" w:eastAsia="Calibri" w:hAnsi="Calibri" w:cs="Calibri"/>
        </w:rPr>
      </w:pPr>
      <w:r>
        <w:rPr>
          <w:rFonts w:ascii="Calibri" w:eastAsia="Calibri" w:hAnsi="Calibri" w:cs="Calibri"/>
          <w:rtl/>
        </w:rPr>
        <w:t>أبرز مثال: تعارض بعض الضمانات الواردة في القانون مع متطلبات الإقامة والرسوم المقررة بموجب قرارات حكومية سابقة</w:t>
      </w:r>
    </w:p>
    <w:p w14:paraId="00000028" w14:textId="77777777" w:rsidR="00C4221C" w:rsidRDefault="00000000">
      <w:pPr>
        <w:bidi/>
        <w:rPr>
          <w:rFonts w:ascii="Calibri" w:eastAsia="Calibri" w:hAnsi="Calibri" w:cs="Calibri"/>
          <w:b/>
          <w:bCs/>
        </w:rPr>
      </w:pPr>
      <w:r>
        <w:rPr>
          <w:rFonts w:ascii="Calibri" w:eastAsia="Calibri" w:hAnsi="Calibri" w:cs="Calibri"/>
          <w:b/>
          <w:bCs/>
          <w:rtl/>
        </w:rPr>
        <w:t>التمويل والرقابة</w:t>
      </w:r>
    </w:p>
    <w:p w14:paraId="00000029" w14:textId="77777777" w:rsidR="00C4221C" w:rsidRDefault="00000000">
      <w:pPr>
        <w:bidi/>
        <w:jc w:val="both"/>
        <w:rPr>
          <w:rFonts w:ascii="Calibri" w:eastAsia="Calibri" w:hAnsi="Calibri" w:cs="Calibri"/>
          <w:rtl/>
        </w:rPr>
      </w:pPr>
      <w:r>
        <w:rPr>
          <w:rFonts w:ascii="Calibri" w:eastAsia="Calibri" w:hAnsi="Calibri" w:cs="Calibri"/>
          <w:rtl/>
        </w:rPr>
        <w:t xml:space="preserve">التخوف من تضخم الجهاز الإداري، القلق من تلقي قروض ومنح دون رقابة مستقلة فعالة، التشكيك في فعالية الرقابة المالية. </w:t>
      </w:r>
    </w:p>
    <w:p w14:paraId="746CBD45" w14:textId="77777777" w:rsidR="00A526C2" w:rsidRDefault="00A526C2" w:rsidP="00A526C2">
      <w:pPr>
        <w:bidi/>
        <w:jc w:val="both"/>
        <w:rPr>
          <w:rFonts w:ascii="Calibri" w:eastAsia="Calibri" w:hAnsi="Calibri" w:cs="Calibri"/>
          <w:rtl/>
        </w:rPr>
      </w:pPr>
    </w:p>
    <w:p w14:paraId="1DA745C4" w14:textId="77777777" w:rsidR="00A526C2" w:rsidRDefault="00A526C2" w:rsidP="00A526C2">
      <w:pPr>
        <w:bidi/>
        <w:jc w:val="both"/>
        <w:rPr>
          <w:rFonts w:ascii="Calibri" w:eastAsia="Calibri" w:hAnsi="Calibri" w:cs="Calibri"/>
          <w:rtl/>
        </w:rPr>
      </w:pPr>
    </w:p>
    <w:p w14:paraId="7C5B599C" w14:textId="77777777" w:rsidR="00A526C2" w:rsidRDefault="00A526C2" w:rsidP="00A526C2">
      <w:pPr>
        <w:bidi/>
        <w:jc w:val="both"/>
        <w:rPr>
          <w:rFonts w:ascii="Calibri" w:eastAsia="Calibri" w:hAnsi="Calibri" w:cs="Calibri"/>
          <w:rtl/>
        </w:rPr>
      </w:pPr>
    </w:p>
    <w:p w14:paraId="5652E3BB" w14:textId="77777777" w:rsidR="00A526C2" w:rsidRDefault="00A526C2" w:rsidP="00A526C2">
      <w:pPr>
        <w:bidi/>
        <w:jc w:val="both"/>
        <w:rPr>
          <w:rFonts w:ascii="Calibri" w:eastAsia="Calibri" w:hAnsi="Calibri" w:cs="Calibri"/>
          <w:rtl/>
        </w:rPr>
      </w:pPr>
    </w:p>
    <w:p w14:paraId="618C074C" w14:textId="77777777" w:rsidR="00A526C2" w:rsidRDefault="00A526C2" w:rsidP="00A526C2">
      <w:pPr>
        <w:bidi/>
        <w:jc w:val="both"/>
        <w:rPr>
          <w:rFonts w:ascii="Calibri" w:eastAsia="Calibri" w:hAnsi="Calibri" w:cs="Calibri"/>
          <w:rtl/>
        </w:rPr>
      </w:pPr>
    </w:p>
    <w:p w14:paraId="3DCBCD4D" w14:textId="77777777" w:rsidR="00A526C2" w:rsidRDefault="00A526C2" w:rsidP="00A526C2">
      <w:pPr>
        <w:bidi/>
        <w:jc w:val="both"/>
        <w:rPr>
          <w:rFonts w:ascii="Calibri" w:eastAsia="Calibri" w:hAnsi="Calibri" w:cs="Calibri"/>
          <w:rtl/>
        </w:rPr>
      </w:pPr>
    </w:p>
    <w:p w14:paraId="015BBAA0" w14:textId="77777777" w:rsidR="00A526C2" w:rsidRDefault="00A526C2" w:rsidP="00A526C2">
      <w:pPr>
        <w:bidi/>
        <w:jc w:val="both"/>
        <w:rPr>
          <w:rFonts w:ascii="Calibri" w:eastAsia="Calibri" w:hAnsi="Calibri" w:cs="Calibri"/>
          <w:rtl/>
        </w:rPr>
      </w:pPr>
    </w:p>
    <w:p w14:paraId="779E7293" w14:textId="77777777" w:rsidR="00A526C2" w:rsidRDefault="00A526C2" w:rsidP="00A526C2">
      <w:pPr>
        <w:bidi/>
        <w:jc w:val="both"/>
        <w:rPr>
          <w:rFonts w:ascii="Calibri" w:eastAsia="Calibri" w:hAnsi="Calibri" w:cs="Calibri"/>
          <w:rtl/>
        </w:rPr>
      </w:pPr>
    </w:p>
    <w:p w14:paraId="1AEF7649" w14:textId="77777777" w:rsidR="00A526C2" w:rsidRDefault="00A526C2" w:rsidP="00A526C2">
      <w:pPr>
        <w:bidi/>
        <w:jc w:val="both"/>
        <w:rPr>
          <w:rFonts w:ascii="Calibri" w:eastAsia="Calibri" w:hAnsi="Calibri" w:cs="Calibri"/>
          <w:rtl/>
        </w:rPr>
      </w:pPr>
    </w:p>
    <w:p w14:paraId="71AF27B1" w14:textId="77777777" w:rsidR="00A526C2" w:rsidRDefault="00A526C2" w:rsidP="00A526C2">
      <w:pPr>
        <w:bidi/>
        <w:jc w:val="both"/>
        <w:rPr>
          <w:rFonts w:ascii="Calibri" w:eastAsia="Calibri" w:hAnsi="Calibri" w:cs="Calibri"/>
          <w:rtl/>
        </w:rPr>
      </w:pPr>
    </w:p>
    <w:p w14:paraId="7E2F9BF5" w14:textId="77777777" w:rsidR="00A526C2" w:rsidRDefault="00A526C2" w:rsidP="00A526C2">
      <w:pPr>
        <w:bidi/>
        <w:jc w:val="both"/>
        <w:rPr>
          <w:rFonts w:ascii="Calibri" w:eastAsia="Calibri" w:hAnsi="Calibri" w:cs="Calibri"/>
          <w:rtl/>
        </w:rPr>
      </w:pPr>
    </w:p>
    <w:p w14:paraId="394F25BF" w14:textId="77777777" w:rsidR="00A526C2" w:rsidRDefault="00A526C2" w:rsidP="00A526C2">
      <w:pPr>
        <w:bidi/>
        <w:jc w:val="both"/>
        <w:rPr>
          <w:rFonts w:ascii="Calibri" w:eastAsia="Calibri" w:hAnsi="Calibri" w:cs="Calibri"/>
          <w:rtl/>
        </w:rPr>
      </w:pPr>
    </w:p>
    <w:p w14:paraId="2B3251FE" w14:textId="77777777" w:rsidR="00A526C2" w:rsidRDefault="00A526C2" w:rsidP="00A526C2">
      <w:pPr>
        <w:bidi/>
        <w:jc w:val="both"/>
        <w:rPr>
          <w:rFonts w:ascii="Calibri" w:eastAsia="Calibri" w:hAnsi="Calibri" w:cs="Calibri"/>
          <w:rtl/>
        </w:rPr>
      </w:pPr>
    </w:p>
    <w:p w14:paraId="07398C23" w14:textId="77777777" w:rsidR="00A526C2" w:rsidRDefault="00A526C2" w:rsidP="00A526C2">
      <w:pPr>
        <w:bidi/>
        <w:jc w:val="both"/>
        <w:rPr>
          <w:rFonts w:ascii="Calibri" w:eastAsia="Calibri" w:hAnsi="Calibri" w:cs="Calibri"/>
          <w:rtl/>
        </w:rPr>
      </w:pPr>
    </w:p>
    <w:p w14:paraId="38EA4A22" w14:textId="77777777" w:rsidR="00A526C2" w:rsidRDefault="00A526C2" w:rsidP="00A526C2">
      <w:pPr>
        <w:bidi/>
        <w:jc w:val="both"/>
        <w:rPr>
          <w:rFonts w:ascii="Calibri" w:eastAsia="Calibri" w:hAnsi="Calibri" w:cs="Calibri"/>
          <w:rtl/>
        </w:rPr>
      </w:pPr>
    </w:p>
    <w:p w14:paraId="7A9F3C03" w14:textId="77777777" w:rsidR="00A526C2" w:rsidRDefault="00A526C2" w:rsidP="00A526C2">
      <w:pPr>
        <w:bidi/>
        <w:jc w:val="both"/>
        <w:rPr>
          <w:rFonts w:ascii="Calibri" w:eastAsia="Calibri" w:hAnsi="Calibri" w:cs="Calibri"/>
          <w:rtl/>
        </w:rPr>
      </w:pPr>
    </w:p>
    <w:p w14:paraId="056AF3EF" w14:textId="77777777" w:rsidR="00A526C2" w:rsidRDefault="00A526C2" w:rsidP="00A526C2">
      <w:pPr>
        <w:bidi/>
        <w:jc w:val="both"/>
        <w:rPr>
          <w:rFonts w:ascii="Calibri" w:eastAsia="Calibri" w:hAnsi="Calibri" w:cs="Calibri"/>
        </w:rPr>
      </w:pPr>
    </w:p>
    <w:p w14:paraId="0000002A" w14:textId="77777777" w:rsidR="00C4221C" w:rsidRDefault="00000000">
      <w:pPr>
        <w:shd w:val="clear" w:color="auto" w:fill="D9D9D9"/>
        <w:bidi/>
        <w:spacing w:before="240" w:line="276" w:lineRule="auto"/>
        <w:jc w:val="center"/>
        <w:rPr>
          <w:rFonts w:ascii="Calibri" w:eastAsia="Calibri" w:hAnsi="Calibri" w:cs="Calibri"/>
          <w:b/>
          <w:bCs/>
          <w:color w:val="000000"/>
          <w:sz w:val="28"/>
          <w:szCs w:val="28"/>
        </w:rPr>
      </w:pPr>
      <w:r>
        <w:rPr>
          <w:rFonts w:ascii="Calibri" w:eastAsia="Calibri" w:hAnsi="Calibri" w:cs="Calibri"/>
          <w:b/>
          <w:bCs/>
          <w:color w:val="000000"/>
          <w:sz w:val="28"/>
          <w:szCs w:val="28"/>
          <w:rtl/>
        </w:rPr>
        <w:lastRenderedPageBreak/>
        <w:t>ثانيــــــــاً: تقييم نصوص اللائحة التنفيذية</w:t>
      </w:r>
    </w:p>
    <w:p w14:paraId="0000002B" w14:textId="77777777" w:rsidR="00C4221C" w:rsidRDefault="00000000">
      <w:pPr>
        <w:bidi/>
        <w:rPr>
          <w:rFonts w:ascii="Calibri" w:eastAsia="Calibri" w:hAnsi="Calibri" w:cs="Calibri"/>
        </w:rPr>
      </w:pPr>
      <w:r>
        <w:rPr>
          <w:rFonts w:ascii="Calibri" w:eastAsia="Calibri" w:hAnsi="Calibri" w:cs="Calibri"/>
          <w:rtl/>
        </w:rPr>
        <w:t>من خلال ما ظهر بمواد</w:t>
      </w:r>
      <w:r>
        <w:rPr>
          <w:sz w:val="22"/>
          <w:szCs w:val="22"/>
        </w:rPr>
        <w:t xml:space="preserve"> </w:t>
      </w:r>
      <w:r>
        <w:rPr>
          <w:rFonts w:ascii="Calibri" w:eastAsia="Calibri" w:hAnsi="Calibri" w:cs="Calibri"/>
          <w:rtl/>
        </w:rPr>
        <w:t>اللائحة التنفيذية، نستطيع تسجيل بعض الملاحظات الحقوقية التالية وفق كل مادة:</w:t>
      </w:r>
    </w:p>
    <w:p w14:paraId="0000002C" w14:textId="77777777" w:rsidR="00C4221C" w:rsidRDefault="00000000">
      <w:pPr>
        <w:bidi/>
        <w:spacing w:before="240"/>
        <w:rPr>
          <w:rFonts w:ascii="Calibri" w:eastAsia="Calibri" w:hAnsi="Calibri" w:cs="Calibri"/>
          <w:b/>
          <w:bCs/>
          <w:color w:val="EE0000"/>
        </w:rPr>
      </w:pPr>
      <w:r>
        <w:rPr>
          <w:rFonts w:ascii="Calibri" w:eastAsia="Calibri" w:hAnsi="Calibri" w:cs="Calibri"/>
          <w:b/>
          <w:bCs/>
          <w:color w:val="EE0000"/>
          <w:rtl/>
        </w:rPr>
        <w:t>المادة (2): "اختصاص اللجنة والأمانة الفنية وقاعدة التقارير"</w:t>
      </w:r>
    </w:p>
    <w:p w14:paraId="0000002D" w14:textId="24CFE5F6" w:rsidR="00C4221C" w:rsidRDefault="00000000">
      <w:pPr>
        <w:bidi/>
        <w:jc w:val="both"/>
        <w:rPr>
          <w:rFonts w:ascii="Calibri" w:eastAsia="Calibri" w:hAnsi="Calibri" w:cs="Calibri"/>
        </w:rPr>
      </w:pPr>
      <w:r>
        <w:rPr>
          <w:rFonts w:ascii="Calibri" w:eastAsia="Calibri" w:hAnsi="Calibri" w:cs="Calibri"/>
          <w:rtl/>
        </w:rPr>
        <w:t xml:space="preserve">اللائحة لم تضع ضمانات كافية لاستقلال اللجنة، حيث النص يمنح اللجنة سلطات واسعة جدا، </w:t>
      </w:r>
      <w:r>
        <w:rPr>
          <w:rFonts w:ascii="Calibri" w:eastAsia="Calibri" w:hAnsi="Calibri" w:cs="Calibri"/>
          <w:color w:val="FF0000"/>
          <w:rtl/>
        </w:rPr>
        <w:t xml:space="preserve">إذ منحها المشرع اختصاصات شاملة </w:t>
      </w:r>
      <w:r w:rsidR="00A526C2">
        <w:rPr>
          <w:rFonts w:ascii="Calibri" w:eastAsia="Calibri" w:hAnsi="Calibri" w:cs="Calibri" w:hint="cs"/>
          <w:color w:val="FF0000"/>
          <w:rtl/>
        </w:rPr>
        <w:t xml:space="preserve">تتضمن، </w:t>
      </w:r>
      <w:r w:rsidR="00A526C2">
        <w:rPr>
          <w:rFonts w:ascii="Calibri" w:eastAsia="Calibri" w:hAnsi="Calibri" w:cs="Calibri" w:hint="cs"/>
          <w:rtl/>
        </w:rPr>
        <w:t>تحديد</w:t>
      </w:r>
      <w:r>
        <w:rPr>
          <w:rFonts w:ascii="Calibri" w:eastAsia="Calibri" w:hAnsi="Calibri" w:cs="Calibri"/>
          <w:rtl/>
        </w:rPr>
        <w:t xml:space="preserve"> معايير الفحص واعتماد الأدلة الإجرائية، إنشاء المكاتب الفرعية وإدارة قاعدة البيانات، إصدار الوثائق والفصل في الطلبات والفصل في التظلمات، </w:t>
      </w:r>
      <w:r>
        <w:rPr>
          <w:rFonts w:ascii="Calibri" w:eastAsia="Calibri" w:hAnsi="Calibri" w:cs="Calibri"/>
          <w:b/>
          <w:bCs/>
          <w:rtl/>
        </w:rPr>
        <w:t>أي أن اللجنة تجمع بين:</w:t>
      </w:r>
      <w:r>
        <w:rPr>
          <w:rFonts w:ascii="Calibri" w:eastAsia="Calibri" w:hAnsi="Calibri" w:cs="Calibri"/>
          <w:rtl/>
        </w:rPr>
        <w:t xml:space="preserve"> سلطة التحقيق وسلطة التقييم وسلطة إصدار القرار وكذلك سلطة نظر التظلم، الأمر الذي يثير إشكالية "تجميع السلطات الإدارية" </w:t>
      </w:r>
    </w:p>
    <w:p w14:paraId="0000002E" w14:textId="165027D7" w:rsidR="00C4221C" w:rsidRDefault="00000000">
      <w:pPr>
        <w:bidi/>
        <w:jc w:val="both"/>
        <w:rPr>
          <w:rFonts w:ascii="Calibri" w:eastAsia="Calibri" w:hAnsi="Calibri" w:cs="Calibri"/>
        </w:rPr>
      </w:pPr>
      <w:r>
        <w:rPr>
          <w:rFonts w:ascii="Calibri" w:eastAsia="Calibri" w:hAnsi="Calibri" w:cs="Calibri"/>
          <w:rtl/>
        </w:rPr>
        <w:t xml:space="preserve">لا توجد رقابة مستقلة خارج السلطة التنفيذية، حيث اللجنة ترفع تقريرها لرئيس الوزراء فقط، وليس للبرلمان أو جهة رقابية مستقلة، كما لا يوجد التزام بالنشر العلني </w:t>
      </w:r>
      <w:r w:rsidR="00A526C2">
        <w:rPr>
          <w:rFonts w:ascii="Calibri" w:eastAsia="Calibri" w:hAnsi="Calibri" w:cs="Calibri" w:hint="cs"/>
          <w:rtl/>
        </w:rPr>
        <w:t>للتقارير، بينما</w:t>
      </w:r>
      <w:r>
        <w:rPr>
          <w:rFonts w:ascii="Calibri" w:eastAsia="Calibri" w:hAnsi="Calibri" w:cs="Calibri"/>
          <w:rtl/>
        </w:rPr>
        <w:t xml:space="preserve"> المعايير الدولية تفضل وجود جهة اتخاذ القرار، وجهة مستقلة للمراجعة الإدارية، بينما هنا الجهة نفسها تنظر القرار والتظلم عليه. </w:t>
      </w:r>
    </w:p>
    <w:p w14:paraId="0000002F" w14:textId="172D84FA" w:rsidR="00C4221C" w:rsidRDefault="00000000">
      <w:pPr>
        <w:bidi/>
        <w:jc w:val="both"/>
        <w:rPr>
          <w:rFonts w:ascii="Calibri" w:eastAsia="Calibri" w:hAnsi="Calibri" w:cs="Calibri"/>
          <w:color w:val="FF0000"/>
        </w:rPr>
      </w:pPr>
      <w:r>
        <w:rPr>
          <w:rFonts w:ascii="Calibri" w:eastAsia="Calibri" w:hAnsi="Calibri" w:cs="Calibri"/>
          <w:color w:val="FF0000"/>
          <w:rtl/>
        </w:rPr>
        <w:t xml:space="preserve">وهذا بالإضافة إلى </w:t>
      </w:r>
      <w:r w:rsidR="00A526C2">
        <w:rPr>
          <w:rFonts w:ascii="Calibri" w:eastAsia="Calibri" w:hAnsi="Calibri" w:cs="Calibri" w:hint="cs"/>
          <w:color w:val="FF0000"/>
          <w:rtl/>
        </w:rPr>
        <w:t>استبعاد</w:t>
      </w:r>
      <w:r>
        <w:rPr>
          <w:rFonts w:ascii="Calibri" w:eastAsia="Calibri" w:hAnsi="Calibri" w:cs="Calibri"/>
          <w:color w:val="FF0000"/>
          <w:rtl/>
        </w:rPr>
        <w:t xml:space="preserve"> مفوضية الأمم المتحدة لشؤون اللاجئين، فإن المادة 35 من اتفاقية عام 1951 الخاصة بوضع اللاجئين،</w:t>
      </w:r>
      <w:r>
        <w:rPr>
          <w:rFonts w:ascii="Calibri" w:eastAsia="Calibri" w:hAnsi="Calibri" w:cs="Calibri"/>
          <w:color w:val="FF0000"/>
          <w:vertAlign w:val="superscript"/>
        </w:rPr>
        <w:footnoteReference w:id="2"/>
      </w:r>
      <w:r>
        <w:rPr>
          <w:rFonts w:ascii="Calibri" w:eastAsia="Calibri" w:hAnsi="Calibri" w:cs="Calibri"/>
          <w:color w:val="FF0000"/>
          <w:rtl/>
        </w:rPr>
        <w:t xml:space="preserve"> تلزم الدول الأطراف بالتعاون </w:t>
      </w:r>
      <w:r w:rsidR="00A526C2">
        <w:rPr>
          <w:rFonts w:ascii="Calibri" w:eastAsia="Calibri" w:hAnsi="Calibri" w:cs="Calibri" w:hint="cs"/>
          <w:color w:val="FF0000"/>
          <w:rtl/>
        </w:rPr>
        <w:t>مع المفوضية</w:t>
      </w:r>
      <w:r>
        <w:rPr>
          <w:rFonts w:ascii="Calibri" w:eastAsia="Calibri" w:hAnsi="Calibri" w:cs="Calibri"/>
          <w:color w:val="FF0000"/>
          <w:rtl/>
        </w:rPr>
        <w:t xml:space="preserve"> وتمكينها من ممارسة ولايتها الإشرافية فيما يتعلق بتطبيق أحكام الاتفاقية وحماية اللاجئين. ومن ثم، فإن الاستبعاد الكامل للمفوضية من إجراءات فحص الطلبات أو مراجعة قرارات الرفض أو إنهاء وسحب صفة اللاجئ قد يثير تساؤلات جدية بشأن مدى التزام السلطات المصرية بواجب التعاون الدولي المنصوص عليه في الاتفاقية، حتى وإن لم يترتب على ذلك بطلان قانوني مباشر للإجراءات المتخذة. </w:t>
      </w:r>
    </w:p>
    <w:p w14:paraId="00000030" w14:textId="4F2BC123" w:rsidR="00C4221C" w:rsidRDefault="00000000">
      <w:pPr>
        <w:bidi/>
        <w:spacing w:before="240"/>
        <w:rPr>
          <w:rFonts w:ascii="Calibri" w:eastAsia="Calibri" w:hAnsi="Calibri" w:cs="Calibri"/>
          <w:b/>
          <w:bCs/>
          <w:color w:val="EE0000"/>
        </w:rPr>
      </w:pPr>
      <w:r>
        <w:rPr>
          <w:rFonts w:ascii="Calibri" w:eastAsia="Calibri" w:hAnsi="Calibri" w:cs="Calibri"/>
          <w:b/>
          <w:bCs/>
          <w:color w:val="EE0000"/>
          <w:rtl/>
        </w:rPr>
        <w:t>المادة (3</w:t>
      </w:r>
      <w:r w:rsidR="00A526C2">
        <w:rPr>
          <w:rFonts w:ascii="Calibri" w:eastAsia="Calibri" w:hAnsi="Calibri" w:cs="Calibri" w:hint="cs"/>
          <w:b/>
          <w:bCs/>
          <w:color w:val="EE0000"/>
          <w:rtl/>
        </w:rPr>
        <w:t>): "</w:t>
      </w:r>
      <w:r>
        <w:rPr>
          <w:rFonts w:ascii="Calibri" w:eastAsia="Calibri" w:hAnsi="Calibri" w:cs="Calibri"/>
          <w:b/>
          <w:bCs/>
          <w:color w:val="EE0000"/>
          <w:rtl/>
        </w:rPr>
        <w:t>قاعدة البيانات والبيانات البيومترية"</w:t>
      </w:r>
    </w:p>
    <w:p w14:paraId="00000031" w14:textId="77777777" w:rsidR="00C4221C" w:rsidRDefault="00000000">
      <w:pPr>
        <w:bidi/>
        <w:jc w:val="both"/>
        <w:rPr>
          <w:rFonts w:ascii="Calibri" w:eastAsia="Calibri" w:hAnsi="Calibri" w:cs="Calibri"/>
        </w:rPr>
      </w:pPr>
      <w:r>
        <w:rPr>
          <w:rFonts w:ascii="Calibri" w:eastAsia="Calibri" w:hAnsi="Calibri" w:cs="Calibri"/>
          <w:rtl/>
        </w:rPr>
        <w:t>لا يوجد حد زمني للاحتفاظ بالبيانات، كما لا يوجد حق صريح للاجئ في الوصول إلى بياناته أو تصحيحها، أو تنظيم واضح لمشاركة البيانات مع الأجهزة الأمنية، كما غاب عن المشرع وجود نص صريح يحظر مشاركة بيانات اللاجئين أو طالبي اللجوء مع دولة المنشأ،</w:t>
      </w:r>
      <w:r>
        <w:rPr>
          <w:rFonts w:ascii="Calibri" w:eastAsia="Calibri" w:hAnsi="Calibri" w:cs="Calibri"/>
        </w:rPr>
        <w:t xml:space="preserve"> </w:t>
      </w:r>
      <w:r>
        <w:rPr>
          <w:rFonts w:ascii="Calibri" w:eastAsia="Calibri" w:hAnsi="Calibri" w:cs="Calibri"/>
          <w:rtl/>
        </w:rPr>
        <w:t>أو أ</w:t>
      </w:r>
      <w:r>
        <w:rPr>
          <w:rFonts w:ascii="Arial" w:eastAsia="Arial" w:hAnsi="Arial" w:cs="Arial"/>
          <w:sz w:val="22"/>
          <w:szCs w:val="22"/>
          <w:rtl/>
        </w:rPr>
        <w:t xml:space="preserve">ي جهات تمثلها بصورة مباشرة أو غير مباشرة، </w:t>
      </w:r>
      <w:r>
        <w:rPr>
          <w:rFonts w:ascii="Calibri" w:eastAsia="Calibri" w:hAnsi="Calibri" w:cs="Calibri"/>
          <w:rtl/>
        </w:rPr>
        <w:t>وهذه من أخطر النقاط في أي نظام لجوء.</w:t>
      </w:r>
    </w:p>
    <w:p w14:paraId="00000032" w14:textId="77777777" w:rsidR="00C4221C" w:rsidRDefault="00000000">
      <w:pPr>
        <w:bidi/>
        <w:jc w:val="both"/>
        <w:rPr>
          <w:rFonts w:ascii="Calibri" w:eastAsia="Calibri" w:hAnsi="Calibri" w:cs="Calibri"/>
          <w:color w:val="FF0000"/>
        </w:rPr>
      </w:pPr>
      <w:r>
        <w:rPr>
          <w:rFonts w:ascii="Calibri" w:eastAsia="Calibri" w:hAnsi="Calibri" w:cs="Calibri"/>
          <w:color w:val="FF0000"/>
          <w:rtl/>
        </w:rPr>
        <w:t xml:space="preserve">كما أن حماية البيانات الخاصة باللاجئين ترتبط بمبدأ عدم الإعادة القسرية المنصوص عليه في المادة 33 من اتفاقية عام 1951 الخاصة بوضع اللاجئين، إذ إن مشاركة المعلومات مع الجهات التي قد تؤدي إلى كشف هوية طالب اللجوء أو مكان وجوده يمكن أن تُفضي بصورة مباشرة أو غير مباشرة إلى تعريضه لخطر الاضطهاد أو الإعادة إلى بلد قد يتعرض فيه لانتهاكات جسيمة لحقوق الإنسان. </w:t>
      </w:r>
    </w:p>
    <w:p w14:paraId="00000033" w14:textId="77777777" w:rsidR="00C4221C" w:rsidRDefault="00000000">
      <w:pPr>
        <w:bidi/>
        <w:spacing w:before="240"/>
        <w:rPr>
          <w:rFonts w:ascii="Calibri" w:eastAsia="Calibri" w:hAnsi="Calibri" w:cs="Calibri"/>
          <w:b/>
          <w:bCs/>
          <w:color w:val="EE0000"/>
        </w:rPr>
      </w:pPr>
      <w:r>
        <w:rPr>
          <w:rFonts w:ascii="Calibri" w:eastAsia="Calibri" w:hAnsi="Calibri" w:cs="Calibri"/>
          <w:b/>
          <w:bCs/>
          <w:color w:val="EE0000"/>
          <w:rtl/>
        </w:rPr>
        <w:t>المادة (4): "تقديم الطلب والتمثيل القانوني"</w:t>
      </w:r>
    </w:p>
    <w:p w14:paraId="00000034" w14:textId="77777777" w:rsidR="00C4221C" w:rsidRDefault="00000000">
      <w:pPr>
        <w:bidi/>
        <w:spacing w:before="240" w:after="240" w:line="276" w:lineRule="auto"/>
        <w:jc w:val="both"/>
        <w:rPr>
          <w:rFonts w:ascii="Calibri" w:eastAsia="Calibri" w:hAnsi="Calibri" w:cs="Calibri"/>
          <w:b/>
          <w:bCs/>
        </w:rPr>
      </w:pPr>
      <w:r>
        <w:rPr>
          <w:rFonts w:ascii="Calibri" w:eastAsia="Calibri" w:hAnsi="Calibri" w:cs="Calibri"/>
          <w:color w:val="FF0000"/>
          <w:rtl/>
        </w:rPr>
        <w:lastRenderedPageBreak/>
        <w:t>تتناول تلك المادة، الإطار القانوني المنظم لتمثيل اللاجئين وطالبي اللجوء أمام اللجنة المختصة أو الجهات الإدارية والقضائية ذات الصلة، وذلك من خلال طالبي اللجوء أو من يُمثله قانونًا في إدارة الإجراءات المرتبطة بطلب اللجوء، وهو ما يُعد من العناصر الجوهرية في ضمانات العدالة الإجرائية في سياق حماية اللاجئين.</w:t>
      </w:r>
    </w:p>
    <w:p w14:paraId="00000035" w14:textId="3D274B79" w:rsidR="00C4221C" w:rsidRDefault="00000000">
      <w:pPr>
        <w:bidi/>
        <w:jc w:val="both"/>
        <w:rPr>
          <w:rFonts w:ascii="Calibri" w:eastAsia="Calibri" w:hAnsi="Calibri" w:cs="Calibri"/>
          <w:b/>
          <w:bCs/>
        </w:rPr>
      </w:pPr>
      <w:r>
        <w:rPr>
          <w:rFonts w:ascii="Calibri" w:eastAsia="Calibri" w:hAnsi="Calibri" w:cs="Calibri"/>
          <w:b/>
          <w:bCs/>
          <w:rtl/>
        </w:rPr>
        <w:t xml:space="preserve">اعتماد الممثل القانوني: </w:t>
      </w:r>
      <w:r>
        <w:rPr>
          <w:rFonts w:ascii="Calibri" w:eastAsia="Calibri" w:hAnsi="Calibri" w:cs="Calibri"/>
          <w:rtl/>
        </w:rPr>
        <w:t xml:space="preserve">لا تحدد اللائحة معايير اختيار الممثل القانوني، ولا توجد آلية شكوى ضد الممثل القانوني، كما لا يوجد نص على استقلاله عن السلطات </w:t>
      </w:r>
      <w:r w:rsidR="00A526C2">
        <w:rPr>
          <w:rFonts w:ascii="Calibri" w:eastAsia="Calibri" w:hAnsi="Calibri" w:cs="Calibri" w:hint="cs"/>
          <w:rtl/>
        </w:rPr>
        <w:t>الحكومية، والحق</w:t>
      </w:r>
      <w:r>
        <w:rPr>
          <w:rFonts w:ascii="Calibri" w:eastAsia="Calibri" w:hAnsi="Calibri" w:cs="Calibri"/>
          <w:rtl/>
        </w:rPr>
        <w:t xml:space="preserve"> في الوصول إلى المستندات والمعلومات ذات الصلة، النص يجعل اعتماد الممثل القانوني بيد اللجنة.</w:t>
      </w:r>
    </w:p>
    <w:p w14:paraId="00000036" w14:textId="07BCAEBF" w:rsidR="00C4221C" w:rsidRDefault="00000000">
      <w:pPr>
        <w:bidi/>
        <w:jc w:val="both"/>
        <w:rPr>
          <w:rFonts w:ascii="Calibri" w:eastAsia="Calibri" w:hAnsi="Calibri" w:cs="Calibri"/>
        </w:rPr>
      </w:pPr>
      <w:r>
        <w:rPr>
          <w:rFonts w:ascii="Calibri" w:eastAsia="Calibri" w:hAnsi="Calibri" w:cs="Calibri"/>
          <w:b/>
          <w:bCs/>
          <w:rtl/>
        </w:rPr>
        <w:t xml:space="preserve">فصل الطلبات الأسرية: </w:t>
      </w:r>
      <w:r>
        <w:rPr>
          <w:rFonts w:ascii="Calibri" w:eastAsia="Calibri" w:hAnsi="Calibri" w:cs="Calibri"/>
          <w:b/>
          <w:bCs/>
          <w:color w:val="FF0000"/>
          <w:rtl/>
        </w:rPr>
        <w:t xml:space="preserve">منح المشرع </w:t>
      </w:r>
      <w:r>
        <w:rPr>
          <w:rFonts w:ascii="Calibri" w:eastAsia="Calibri" w:hAnsi="Calibri" w:cs="Calibri"/>
          <w:rtl/>
        </w:rPr>
        <w:t xml:space="preserve">اللجنة الحق في فصل الطلبات عند الاقتضاء، إلا أن المشرع لم يضع تعريفًا واضحًا لحالة الاقتضاء "الضرورة"، ولم يحدد الحالات حصرًا التي يجوز فيها للجنة فصل </w:t>
      </w:r>
      <w:r w:rsidR="00A526C2">
        <w:rPr>
          <w:rFonts w:ascii="Calibri" w:eastAsia="Calibri" w:hAnsi="Calibri" w:cs="Calibri" w:hint="cs"/>
          <w:rtl/>
        </w:rPr>
        <w:t>الطلبات، الأمر</w:t>
      </w:r>
      <w:r>
        <w:rPr>
          <w:rFonts w:ascii="Calibri" w:eastAsia="Calibri" w:hAnsi="Calibri" w:cs="Calibri"/>
          <w:rtl/>
        </w:rPr>
        <w:t xml:space="preserve"> الذي يترك للجنة سُلطة تقديرية واسعة دون ضوابط كافية، كما لم يُلزم المشرع اللجنة بتسبيب القرار.    </w:t>
      </w:r>
    </w:p>
    <w:p w14:paraId="00000037" w14:textId="724DA2CA" w:rsidR="00C4221C" w:rsidRDefault="00000000">
      <w:pPr>
        <w:bidi/>
        <w:spacing w:before="240"/>
        <w:rPr>
          <w:rFonts w:ascii="Calibri" w:eastAsia="Calibri" w:hAnsi="Calibri" w:cs="Calibri"/>
          <w:b/>
          <w:bCs/>
          <w:color w:val="EE0000"/>
        </w:rPr>
      </w:pPr>
      <w:r>
        <w:rPr>
          <w:rFonts w:ascii="Calibri" w:eastAsia="Calibri" w:hAnsi="Calibri" w:cs="Calibri"/>
          <w:b/>
          <w:bCs/>
          <w:color w:val="EE0000"/>
          <w:rtl/>
        </w:rPr>
        <w:t>المادة (5</w:t>
      </w:r>
      <w:r w:rsidR="00A526C2">
        <w:rPr>
          <w:rFonts w:ascii="Calibri" w:eastAsia="Calibri" w:hAnsi="Calibri" w:cs="Calibri" w:hint="cs"/>
          <w:b/>
          <w:bCs/>
          <w:color w:val="EE0000"/>
          <w:rtl/>
        </w:rPr>
        <w:t>): "</w:t>
      </w:r>
      <w:r>
        <w:rPr>
          <w:rFonts w:ascii="Calibri" w:eastAsia="Calibri" w:hAnsi="Calibri" w:cs="Calibri"/>
          <w:b/>
          <w:bCs/>
          <w:color w:val="EE0000"/>
          <w:rtl/>
        </w:rPr>
        <w:t>الدخول غير الشرعي"</w:t>
      </w:r>
    </w:p>
    <w:p w14:paraId="00000038" w14:textId="4B5C4A73" w:rsidR="00C4221C" w:rsidRDefault="00000000">
      <w:pPr>
        <w:bidi/>
        <w:jc w:val="both"/>
        <w:rPr>
          <w:rFonts w:ascii="Calibri" w:eastAsia="Calibri" w:hAnsi="Calibri" w:cs="Calibri"/>
          <w:color w:val="FF0000"/>
        </w:rPr>
      </w:pPr>
      <w:r>
        <w:rPr>
          <w:rFonts w:ascii="Calibri" w:eastAsia="Calibri" w:hAnsi="Calibri" w:cs="Calibri"/>
          <w:color w:val="FF0000"/>
          <w:rtl/>
        </w:rPr>
        <w:t xml:space="preserve">تُثير تلك المادة الشُبهات حول طريقة التعامل مع طالبي اللجوء الذين دخلوا بطريقة غير نظامية، حيث حرصت اتفاقية وضع اللاجئين على عدم حرمان الأشخاص بمجرد الدخول </w:t>
      </w:r>
      <w:r w:rsidR="00A526C2">
        <w:rPr>
          <w:rFonts w:ascii="Calibri" w:eastAsia="Calibri" w:hAnsi="Calibri" w:cs="Calibri" w:hint="cs"/>
          <w:color w:val="FF0000"/>
          <w:rtl/>
        </w:rPr>
        <w:t>غير النظامي</w:t>
      </w:r>
      <w:r>
        <w:rPr>
          <w:rFonts w:ascii="Calibri" w:eastAsia="Calibri" w:hAnsi="Calibri" w:cs="Calibri"/>
          <w:color w:val="FF0000"/>
          <w:rtl/>
        </w:rPr>
        <w:t xml:space="preserve"> من حقه في طلب اللجوء أو منعه من الوصول إلى إجراءات تحديد صفة لاجئ،</w:t>
      </w:r>
      <w:r>
        <w:rPr>
          <w:rFonts w:ascii="Calibri" w:eastAsia="Calibri" w:hAnsi="Calibri" w:cs="Calibri"/>
          <w:color w:val="FF0000"/>
          <w:vertAlign w:val="superscript"/>
        </w:rPr>
        <w:footnoteReference w:id="3"/>
      </w:r>
      <w:r>
        <w:rPr>
          <w:rFonts w:ascii="Calibri" w:eastAsia="Calibri" w:hAnsi="Calibri" w:cs="Calibri"/>
          <w:color w:val="FF0000"/>
          <w:rtl/>
        </w:rPr>
        <w:t xml:space="preserve"> متى قدموا أنفسهم إلى السلطات المختصة دون تأخير وأبدوا أسباباً وجيهة لدخولهم أو وجودهم بصورة غير نظامية.</w:t>
      </w:r>
    </w:p>
    <w:p w14:paraId="00000039" w14:textId="77777777" w:rsidR="00C4221C" w:rsidRDefault="00000000">
      <w:pPr>
        <w:bidi/>
        <w:jc w:val="both"/>
        <w:rPr>
          <w:rFonts w:ascii="Calibri" w:eastAsia="Calibri" w:hAnsi="Calibri" w:cs="Calibri"/>
        </w:rPr>
      </w:pPr>
      <w:r>
        <w:rPr>
          <w:rFonts w:ascii="Calibri" w:eastAsia="Calibri" w:hAnsi="Calibri" w:cs="Calibri"/>
          <w:rtl/>
        </w:rPr>
        <w:t>بيد أن إلزام الداخل بصورة غير نظامية بالتقدم خلال 45 يوماً، هذه مادة قد تكون محل انتقاد كبير، حيث كثير من طالبي اللجوء يصلون في ظروف صدمة أو احتجاز ويعانون من صدمات نفسية، أو جهل بالإجراءات أو لا يعرفون اللغة، والمعايير الدولية تقبل التأخير إذا وجدت أسباب معقولة، ولا تربط الحماية غالبا بمهلة قصيرة كهذه.، خاصة أن النص لا يوضح بصورة كافية آثار تجاوز المدة، وقد تستخدم المهلة كعنصر سلبي ضد مصداقية الطلب.</w:t>
      </w:r>
    </w:p>
    <w:p w14:paraId="0000003A" w14:textId="77777777" w:rsidR="00C4221C" w:rsidRDefault="00000000">
      <w:pPr>
        <w:bidi/>
        <w:spacing w:before="240"/>
        <w:rPr>
          <w:rFonts w:ascii="Calibri" w:eastAsia="Calibri" w:hAnsi="Calibri" w:cs="Calibri"/>
          <w:b/>
          <w:bCs/>
          <w:color w:val="EE0000"/>
        </w:rPr>
      </w:pPr>
      <w:r>
        <w:rPr>
          <w:rFonts w:ascii="Calibri" w:eastAsia="Calibri" w:hAnsi="Calibri" w:cs="Calibri"/>
          <w:b/>
          <w:bCs/>
          <w:color w:val="EE0000"/>
          <w:rtl/>
        </w:rPr>
        <w:t>المادة (6): "البيانات والمستندات"</w:t>
      </w:r>
    </w:p>
    <w:p w14:paraId="0000003B" w14:textId="77777777" w:rsidR="00C4221C" w:rsidRDefault="00000000">
      <w:pPr>
        <w:bidi/>
        <w:jc w:val="both"/>
        <w:rPr>
          <w:rFonts w:ascii="Calibri" w:eastAsia="Calibri" w:hAnsi="Calibri" w:cs="Calibri"/>
        </w:rPr>
      </w:pPr>
      <w:r>
        <w:rPr>
          <w:rFonts w:ascii="Calibri" w:eastAsia="Calibri" w:hAnsi="Calibri" w:cs="Calibri"/>
          <w:rtl/>
        </w:rPr>
        <w:t xml:space="preserve">هذه من أكثر المواد حساسية من حيث الكم الكبير من المعلومات المطلوبة </w:t>
      </w:r>
      <w:proofErr w:type="spellStart"/>
      <w:r>
        <w:rPr>
          <w:rFonts w:ascii="Calibri" w:eastAsia="Calibri" w:hAnsi="Calibri" w:cs="Calibri"/>
          <w:rtl/>
        </w:rPr>
        <w:t>والتى</w:t>
      </w:r>
      <w:proofErr w:type="spellEnd"/>
      <w:r>
        <w:rPr>
          <w:rFonts w:ascii="Calibri" w:eastAsia="Calibri" w:hAnsi="Calibri" w:cs="Calibri"/>
          <w:rtl/>
        </w:rPr>
        <w:t xml:space="preserve"> تشمل الدين، العرق، الأقارب، المسار الكامل للسفر، طلبات اللجوء السابقة، وهذه البيانات الحساسة تدخل ضمن الفئات الحساسة في حماية البيانات لكن لا يوضح مدة الاحتفاظ بها، أو حق حذفها وحق الوصول إليها. </w:t>
      </w:r>
    </w:p>
    <w:p w14:paraId="0000003C" w14:textId="77777777" w:rsidR="00C4221C" w:rsidRDefault="00000000">
      <w:pPr>
        <w:bidi/>
        <w:jc w:val="both"/>
        <w:rPr>
          <w:rFonts w:ascii="Calibri" w:eastAsia="Calibri" w:hAnsi="Calibri" w:cs="Calibri"/>
        </w:rPr>
      </w:pPr>
      <w:r>
        <w:rPr>
          <w:rFonts w:ascii="Calibri" w:eastAsia="Calibri" w:hAnsi="Calibri" w:cs="Calibri"/>
          <w:rtl/>
        </w:rPr>
        <w:t>يتطلب معلومات واسعة جداً عن الأقارب والتنقلات السابقة، وإلزام مقدم الطلب بالإفصاح عن ديانته وعرقه، مع اشتراط إقرارات قد تُستخدم لاحقاً ضده إذا وقع خطأ غير مقصود في البيانات، كالإقرار بعدم ارتكاب جرائم معينة، عمليا قد يتحول هذا الإقرار إلى أداة لاحقة لمساءلة طالب اللجوء إذا تبين أي خطأ أو اختلاف في الإفادات، كما أن اشتراط الموافقة على معالجة البيانات بصياغة عامة نسبياً قد يثير تساؤلات تتعلق بالرضا الحر والمستنير.</w:t>
      </w:r>
    </w:p>
    <w:p w14:paraId="0000003D" w14:textId="77777777" w:rsidR="00C4221C" w:rsidRDefault="00000000">
      <w:pPr>
        <w:bidi/>
        <w:jc w:val="both"/>
        <w:rPr>
          <w:rFonts w:ascii="Calibri" w:eastAsia="Calibri" w:hAnsi="Calibri" w:cs="Calibri"/>
          <w:color w:val="FF0000"/>
        </w:rPr>
      </w:pPr>
      <w:r>
        <w:rPr>
          <w:rFonts w:ascii="Calibri" w:eastAsia="Calibri" w:hAnsi="Calibri" w:cs="Calibri"/>
          <w:color w:val="FF0000"/>
          <w:rtl/>
        </w:rPr>
        <w:t xml:space="preserve">كما أن المادة اشترطت تقديم مستندات ووثائق إثبات بصورة صارمة، وهو ما يُثير إشكالية بالنظر إلى أن بعض من طالبي اللجوء يغادرون بلدانهم بشكل عاجل وسري، وقد لا يتمكنون من الاحتفاظ بالمستندات والوثائق. </w:t>
      </w:r>
    </w:p>
    <w:p w14:paraId="0000003E" w14:textId="42C57490" w:rsidR="00C4221C" w:rsidRDefault="00000000">
      <w:pPr>
        <w:bidi/>
        <w:jc w:val="both"/>
        <w:rPr>
          <w:rFonts w:ascii="Calibri" w:eastAsia="Calibri" w:hAnsi="Calibri" w:cs="Calibri"/>
        </w:rPr>
      </w:pPr>
      <w:r>
        <w:rPr>
          <w:rFonts w:ascii="Calibri" w:eastAsia="Calibri" w:hAnsi="Calibri" w:cs="Calibri"/>
          <w:color w:val="FF0000"/>
          <w:rtl/>
        </w:rPr>
        <w:lastRenderedPageBreak/>
        <w:t xml:space="preserve">هذا </w:t>
      </w:r>
      <w:r w:rsidR="00A526C2">
        <w:rPr>
          <w:rFonts w:ascii="Calibri" w:eastAsia="Calibri" w:hAnsi="Calibri" w:cs="Calibri" w:hint="cs"/>
          <w:color w:val="FF0000"/>
          <w:rtl/>
        </w:rPr>
        <w:t>بالإضافة</w:t>
      </w:r>
      <w:r>
        <w:rPr>
          <w:rFonts w:ascii="Calibri" w:eastAsia="Calibri" w:hAnsi="Calibri" w:cs="Calibri"/>
          <w:color w:val="FF0000"/>
          <w:rtl/>
        </w:rPr>
        <w:t xml:space="preserve"> إلى أن المشرع لم يوضح ما هو مصير الطلبات المقدمة غير </w:t>
      </w:r>
      <w:r w:rsidR="00A526C2">
        <w:rPr>
          <w:rFonts w:ascii="Calibri" w:eastAsia="Calibri" w:hAnsi="Calibri" w:cs="Calibri" w:hint="cs"/>
          <w:color w:val="FF0000"/>
          <w:rtl/>
        </w:rPr>
        <w:t>ال</w:t>
      </w:r>
      <w:r>
        <w:rPr>
          <w:rFonts w:ascii="Calibri" w:eastAsia="Calibri" w:hAnsi="Calibri" w:cs="Calibri"/>
          <w:color w:val="FF0000"/>
          <w:rtl/>
        </w:rPr>
        <w:t>مستوفية البيانات والمستندات المطلوبة، إ</w:t>
      </w:r>
      <w:r>
        <w:rPr>
          <w:rFonts w:ascii="Calibri" w:eastAsia="Calibri" w:hAnsi="Calibri" w:cs="Calibri"/>
          <w:rtl/>
        </w:rPr>
        <w:t>ذ لا يتضمن ضمانات صريحة تؤكد عدم جواز رفض الطلب لمجرد نقص الوثائق أو تعذر تقديمها لأسباب خارجة عن إرادة طالب اللجوء.</w:t>
      </w:r>
    </w:p>
    <w:p w14:paraId="0000003F" w14:textId="77777777" w:rsidR="00C4221C" w:rsidRDefault="00000000">
      <w:pPr>
        <w:bidi/>
        <w:spacing w:before="240"/>
        <w:rPr>
          <w:rFonts w:ascii="Calibri" w:eastAsia="Calibri" w:hAnsi="Calibri" w:cs="Calibri"/>
          <w:b/>
          <w:bCs/>
          <w:color w:val="EE0000"/>
        </w:rPr>
      </w:pPr>
      <w:r>
        <w:rPr>
          <w:rFonts w:ascii="Calibri" w:eastAsia="Calibri" w:hAnsi="Calibri" w:cs="Calibri"/>
          <w:b/>
          <w:bCs/>
          <w:color w:val="EE0000"/>
          <w:rtl/>
        </w:rPr>
        <w:t xml:space="preserve">المادة (7): "الاستقبال والتسجيل </w:t>
      </w:r>
      <w:proofErr w:type="spellStart"/>
      <w:r>
        <w:rPr>
          <w:rFonts w:ascii="Calibri" w:eastAsia="Calibri" w:hAnsi="Calibri" w:cs="Calibri"/>
          <w:b/>
          <w:bCs/>
          <w:color w:val="EE0000"/>
          <w:rtl/>
        </w:rPr>
        <w:t>والبيومتريات</w:t>
      </w:r>
      <w:proofErr w:type="spellEnd"/>
      <w:r>
        <w:rPr>
          <w:rFonts w:ascii="Calibri" w:eastAsia="Calibri" w:hAnsi="Calibri" w:cs="Calibri"/>
          <w:b/>
          <w:bCs/>
          <w:color w:val="EE0000"/>
          <w:rtl/>
        </w:rPr>
        <w:t>"</w:t>
      </w:r>
    </w:p>
    <w:p w14:paraId="00000040" w14:textId="52EDCFD4" w:rsidR="00C4221C" w:rsidRDefault="00A526C2">
      <w:pPr>
        <w:bidi/>
        <w:jc w:val="both"/>
        <w:rPr>
          <w:rFonts w:ascii="Calibri" w:eastAsia="Calibri" w:hAnsi="Calibri" w:cs="Calibri"/>
        </w:rPr>
      </w:pPr>
      <w:r>
        <w:rPr>
          <w:rFonts w:ascii="Calibri" w:eastAsia="Calibri" w:hAnsi="Calibri" w:cs="Calibri" w:hint="cs"/>
          <w:b/>
          <w:bCs/>
          <w:rtl/>
        </w:rPr>
        <w:t>تعتبر</w:t>
      </w:r>
      <w:r w:rsidR="00000000">
        <w:rPr>
          <w:rFonts w:ascii="Calibri" w:eastAsia="Calibri" w:hAnsi="Calibri" w:cs="Calibri"/>
          <w:b/>
          <w:bCs/>
          <w:rtl/>
        </w:rPr>
        <w:t xml:space="preserve"> تلك المادة هي مادة إجرائية وتنظيمية، إلا أن المشرع سمح بجمع البيانات البيومترية، </w:t>
      </w:r>
      <w:r w:rsidR="00000000">
        <w:rPr>
          <w:rFonts w:ascii="Calibri" w:eastAsia="Calibri" w:hAnsi="Calibri" w:cs="Calibri"/>
          <w:rtl/>
        </w:rPr>
        <w:t>ولا توجد آلية اعتراض على جمع البيانات البيومترية، كما لا توجد رقابة مستقلة على استخدامها، مع غياب النص على: مدة التخزين، الجهة المخولة بالاطلاع، مشاركة البيانات، نقلها خارج الدولة، حق التصحيح، وهذه ثغرة واضحة، أيضا الفحص الطبي الإلزامي قد يثير إشكالات تتعلق بالخصوصية إذا لم يقترن بضمانات قوية.</w:t>
      </w:r>
    </w:p>
    <w:p w14:paraId="00000041" w14:textId="77777777" w:rsidR="00C4221C" w:rsidRDefault="00000000">
      <w:pPr>
        <w:bidi/>
        <w:spacing w:before="240"/>
        <w:rPr>
          <w:rFonts w:ascii="Calibri" w:eastAsia="Calibri" w:hAnsi="Calibri" w:cs="Calibri"/>
          <w:b/>
          <w:bCs/>
          <w:color w:val="EE0000"/>
        </w:rPr>
      </w:pPr>
      <w:r>
        <w:rPr>
          <w:rFonts w:ascii="Calibri" w:eastAsia="Calibri" w:hAnsi="Calibri" w:cs="Calibri"/>
          <w:b/>
          <w:bCs/>
          <w:color w:val="EE0000"/>
          <w:rtl/>
        </w:rPr>
        <w:t>المادة (9): "المقابلة الشخصية"</w:t>
      </w:r>
    </w:p>
    <w:p w14:paraId="00000042" w14:textId="3D2A44A6" w:rsidR="00C4221C" w:rsidRDefault="00000000">
      <w:pPr>
        <w:bidi/>
        <w:jc w:val="both"/>
        <w:rPr>
          <w:rFonts w:ascii="Calibri" w:eastAsia="Calibri" w:hAnsi="Calibri" w:cs="Calibri"/>
        </w:rPr>
      </w:pPr>
      <w:r>
        <w:rPr>
          <w:rFonts w:ascii="Calibri" w:eastAsia="Calibri" w:hAnsi="Calibri" w:cs="Calibri"/>
          <w:rtl/>
        </w:rPr>
        <w:t xml:space="preserve">تنظم تلك المادة إجراءات المقابلة الشخصية، وهي أهم مرحلة في نظام اللجوء، مع ذلك لا يوجد نص صريح يضمن حصول المحامي على نسخة من الملف أو الاطلاع على الأدلة المستخدمة ضد طالب اللجوء، كما أن التسجيل الصوتي والمرئي الذي يبيحه النص يسمح بالتسجيل لكن لا يوضح من يحتفظ به، ومدة الاحتفاظ، وحق طالب اللجوء في نسخة </w:t>
      </w:r>
      <w:r w:rsidR="00A526C2">
        <w:rPr>
          <w:rFonts w:ascii="Calibri" w:eastAsia="Calibri" w:hAnsi="Calibri" w:cs="Calibri" w:hint="cs"/>
          <w:rtl/>
        </w:rPr>
        <w:t>منه، وغاب</w:t>
      </w:r>
      <w:r>
        <w:rPr>
          <w:rFonts w:ascii="Calibri" w:eastAsia="Calibri" w:hAnsi="Calibri" w:cs="Calibri"/>
          <w:rtl/>
        </w:rPr>
        <w:t xml:space="preserve"> عن المشرع ضمان سرية التسجيلات، كما لا توجد قواعد تفصيلية للطعن في أخطاء الترجمة </w:t>
      </w:r>
    </w:p>
    <w:p w14:paraId="00000043" w14:textId="068D0137" w:rsidR="00C4221C" w:rsidRDefault="00000000">
      <w:pPr>
        <w:bidi/>
        <w:jc w:val="both"/>
        <w:rPr>
          <w:rFonts w:ascii="Calibri" w:eastAsia="Calibri" w:hAnsi="Calibri" w:cs="Calibri"/>
          <w:b/>
          <w:bCs/>
        </w:rPr>
      </w:pPr>
      <w:r>
        <w:rPr>
          <w:rFonts w:ascii="Calibri" w:eastAsia="Calibri" w:hAnsi="Calibri" w:cs="Calibri"/>
          <w:b/>
          <w:bCs/>
          <w:rtl/>
        </w:rPr>
        <w:t xml:space="preserve">الخلاصة: </w:t>
      </w:r>
      <w:r>
        <w:rPr>
          <w:rFonts w:ascii="Calibri" w:eastAsia="Calibri" w:hAnsi="Calibri" w:cs="Calibri"/>
          <w:rtl/>
        </w:rPr>
        <w:t xml:space="preserve">اتجاه رقابي/أمني واضح (البيانات البيومترية، قواعد البيانات المركزية، التحقق من المسارات السابقة، </w:t>
      </w:r>
      <w:proofErr w:type="spellStart"/>
      <w:r>
        <w:rPr>
          <w:rFonts w:ascii="Calibri" w:eastAsia="Calibri" w:hAnsi="Calibri" w:cs="Calibri"/>
          <w:rtl/>
        </w:rPr>
        <w:t>ال</w:t>
      </w:r>
      <w:r w:rsidR="00A526C2">
        <w:rPr>
          <w:rFonts w:ascii="Calibri" w:eastAsia="Calibri" w:hAnsi="Calibri" w:cs="Calibri" w:hint="cs"/>
          <w:rtl/>
        </w:rPr>
        <w:t>ا</w:t>
      </w:r>
      <w:r>
        <w:rPr>
          <w:rFonts w:ascii="Calibri" w:eastAsia="Calibri" w:hAnsi="Calibri" w:cs="Calibri"/>
          <w:rtl/>
        </w:rPr>
        <w:t>فصاحات</w:t>
      </w:r>
      <w:proofErr w:type="spellEnd"/>
      <w:r>
        <w:rPr>
          <w:rFonts w:ascii="Calibri" w:eastAsia="Calibri" w:hAnsi="Calibri" w:cs="Calibri"/>
          <w:rtl/>
        </w:rPr>
        <w:t xml:space="preserve"> الواسعة)</w:t>
      </w:r>
    </w:p>
    <w:p w14:paraId="00000044" w14:textId="77777777" w:rsidR="00C4221C" w:rsidRDefault="00000000">
      <w:pPr>
        <w:bidi/>
        <w:spacing w:before="240"/>
        <w:rPr>
          <w:rFonts w:ascii="Calibri" w:eastAsia="Calibri" w:hAnsi="Calibri" w:cs="Calibri"/>
          <w:b/>
          <w:bCs/>
          <w:color w:val="EE0000"/>
        </w:rPr>
      </w:pPr>
      <w:r>
        <w:rPr>
          <w:rFonts w:ascii="Calibri" w:eastAsia="Calibri" w:hAnsi="Calibri" w:cs="Calibri"/>
          <w:b/>
          <w:bCs/>
          <w:color w:val="EE0000"/>
          <w:rtl/>
        </w:rPr>
        <w:t>المادة (13): "تقييم الحالات"</w:t>
      </w:r>
    </w:p>
    <w:p w14:paraId="00000045" w14:textId="2C38057F" w:rsidR="00C4221C" w:rsidRDefault="00000000">
      <w:pPr>
        <w:bidi/>
        <w:jc w:val="both"/>
        <w:rPr>
          <w:rFonts w:ascii="Calibri" w:eastAsia="Calibri" w:hAnsi="Calibri" w:cs="Calibri"/>
        </w:rPr>
      </w:pPr>
      <w:r>
        <w:rPr>
          <w:rFonts w:ascii="Calibri" w:eastAsia="Calibri" w:hAnsi="Calibri" w:cs="Calibri"/>
          <w:color w:val="FF0000"/>
          <w:rtl/>
        </w:rPr>
        <w:t xml:space="preserve">تنظم مرحلة تقييم طلب اللجوء، وتعد </w:t>
      </w:r>
      <w:r>
        <w:rPr>
          <w:rFonts w:ascii="Calibri" w:eastAsia="Calibri" w:hAnsi="Calibri" w:cs="Calibri"/>
          <w:rtl/>
        </w:rPr>
        <w:t>من أخطر المواد،</w:t>
      </w:r>
      <w:r>
        <w:rPr>
          <w:rFonts w:ascii="Calibri" w:eastAsia="Calibri" w:hAnsi="Calibri" w:cs="Calibri"/>
          <w:color w:val="FF0000"/>
          <w:rtl/>
        </w:rPr>
        <w:t xml:space="preserve"> حيث منح المشرع اللجنة سلطة واسعة في جمع المعلومات</w:t>
      </w:r>
      <w:r>
        <w:rPr>
          <w:rFonts w:ascii="Calibri" w:eastAsia="Calibri" w:hAnsi="Calibri" w:cs="Calibri"/>
          <w:rtl/>
        </w:rPr>
        <w:t xml:space="preserve"> من "المصادر المتاحة"، إلا أنها لم تحدد على وجه الدقة ماهية المصادر المتاحة، </w:t>
      </w:r>
      <w:r w:rsidR="00A526C2">
        <w:rPr>
          <w:rFonts w:ascii="Calibri" w:eastAsia="Calibri" w:hAnsi="Calibri" w:cs="Calibri" w:hint="cs"/>
          <w:rtl/>
        </w:rPr>
        <w:t>ومعايي</w:t>
      </w:r>
      <w:r w:rsidR="00A526C2">
        <w:rPr>
          <w:rFonts w:ascii="Calibri" w:eastAsia="Calibri" w:hAnsi="Calibri" w:cs="Calibri" w:hint="eastAsia"/>
          <w:rtl/>
        </w:rPr>
        <w:t>ر</w:t>
      </w:r>
      <w:r>
        <w:rPr>
          <w:rFonts w:ascii="Calibri" w:eastAsia="Calibri" w:hAnsi="Calibri" w:cs="Calibri"/>
          <w:rtl/>
        </w:rPr>
        <w:t xml:space="preserve"> الاعتماد عليها وكيفية التحقق من حيادها، فالنص لا يوضح والتخوف أن تشمل أجهزة </w:t>
      </w:r>
      <w:r w:rsidR="00A526C2">
        <w:rPr>
          <w:rFonts w:ascii="Calibri" w:eastAsia="Calibri" w:hAnsi="Calibri" w:cs="Calibri" w:hint="cs"/>
          <w:rtl/>
        </w:rPr>
        <w:t>أمنية</w:t>
      </w:r>
      <w:r w:rsidR="00A526C2">
        <w:rPr>
          <w:rFonts w:ascii="Calibri" w:eastAsia="Calibri" w:hAnsi="Calibri" w:cs="Calibri" w:hint="eastAsia"/>
          <w:rtl/>
        </w:rPr>
        <w:t>،</w:t>
      </w:r>
      <w:r>
        <w:rPr>
          <w:rFonts w:ascii="Calibri" w:eastAsia="Calibri" w:hAnsi="Calibri" w:cs="Calibri"/>
          <w:rtl/>
        </w:rPr>
        <w:t xml:space="preserve"> أو قواعد بيانات دولية، أو </w:t>
      </w:r>
      <w:r w:rsidR="00A526C2">
        <w:rPr>
          <w:rFonts w:ascii="Calibri" w:eastAsia="Calibri" w:hAnsi="Calibri" w:cs="Calibri" w:hint="cs"/>
          <w:rtl/>
        </w:rPr>
        <w:t>سفارات</w:t>
      </w:r>
      <w:r w:rsidR="00A526C2">
        <w:rPr>
          <w:rFonts w:ascii="Calibri" w:eastAsia="Calibri" w:hAnsi="Calibri" w:cs="Calibri" w:hint="eastAsia"/>
          <w:rtl/>
        </w:rPr>
        <w:t>،</w:t>
      </w:r>
      <w:r>
        <w:rPr>
          <w:rFonts w:ascii="Calibri" w:eastAsia="Calibri" w:hAnsi="Calibri" w:cs="Calibri"/>
          <w:rtl/>
        </w:rPr>
        <w:t xml:space="preserve"> أو حكومات بلد المنشأ، في بعض الحالات قد يؤدي التواصل غير المنضبط مع دولة المنشأ إلى كشف هوية طالب اللجوء وهذا من أخطر الانتهاكات المحتملة في أنظمة اللجوء.</w:t>
      </w:r>
    </w:p>
    <w:p w14:paraId="00000046" w14:textId="77777777" w:rsidR="00C4221C" w:rsidRDefault="00000000">
      <w:pPr>
        <w:bidi/>
        <w:jc w:val="both"/>
        <w:rPr>
          <w:rFonts w:ascii="Calibri" w:eastAsia="Calibri" w:hAnsi="Calibri" w:cs="Calibri"/>
          <w:color w:val="FF0000"/>
        </w:rPr>
      </w:pPr>
      <w:r>
        <w:rPr>
          <w:rFonts w:ascii="Calibri" w:eastAsia="Calibri" w:hAnsi="Calibri" w:cs="Calibri"/>
          <w:color w:val="FF0000"/>
          <w:rtl/>
        </w:rPr>
        <w:t xml:space="preserve">كما ان المشرع في نص المادة </w:t>
      </w:r>
      <w:r>
        <w:rPr>
          <w:rFonts w:ascii="Calibri" w:eastAsia="Calibri" w:hAnsi="Calibri" w:cs="Calibri"/>
          <w:rtl/>
        </w:rPr>
        <w:t>تحدث</w:t>
      </w:r>
      <w:r>
        <w:rPr>
          <w:rFonts w:ascii="Calibri" w:eastAsia="Calibri" w:hAnsi="Calibri" w:cs="Calibri"/>
          <w:color w:val="FF0000"/>
          <w:rtl/>
        </w:rPr>
        <w:t xml:space="preserve"> عن إعداد التقرير، ولم يُشر من قريب أو بعيد عن حق طالب اللجوء في الاطلاع عليه أو الرد على ما ورد فيه. </w:t>
      </w:r>
    </w:p>
    <w:p w14:paraId="00000047" w14:textId="45304E1E" w:rsidR="00C4221C" w:rsidRDefault="00A526C2">
      <w:pPr>
        <w:bidi/>
        <w:spacing w:before="240"/>
        <w:rPr>
          <w:rFonts w:ascii="Calibri" w:eastAsia="Calibri" w:hAnsi="Calibri" w:cs="Calibri"/>
          <w:b/>
          <w:bCs/>
          <w:color w:val="EE0000"/>
        </w:rPr>
      </w:pPr>
      <w:r>
        <w:rPr>
          <w:rFonts w:ascii="Calibri" w:eastAsia="Calibri" w:hAnsi="Calibri" w:cs="Calibri" w:hint="cs"/>
          <w:b/>
          <w:bCs/>
          <w:color w:val="EE0000"/>
          <w:rtl/>
        </w:rPr>
        <w:t xml:space="preserve">المادة </w:t>
      </w:r>
      <w:r>
        <w:rPr>
          <w:rFonts w:ascii="Calibri" w:eastAsia="Calibri" w:hAnsi="Calibri" w:cs="Calibri"/>
          <w:b/>
          <w:bCs/>
          <w:color w:val="EE0000"/>
          <w:rtl/>
        </w:rPr>
        <w:t>(</w:t>
      </w:r>
      <w:r w:rsidR="00000000">
        <w:rPr>
          <w:rFonts w:ascii="Calibri" w:eastAsia="Calibri" w:hAnsi="Calibri" w:cs="Calibri"/>
          <w:b/>
          <w:bCs/>
          <w:color w:val="EE0000"/>
          <w:rtl/>
        </w:rPr>
        <w:t>14): "الفصل في الطلب"</w:t>
      </w:r>
    </w:p>
    <w:p w14:paraId="00000048" w14:textId="30688D16" w:rsidR="00C4221C" w:rsidRDefault="00000000">
      <w:pPr>
        <w:bidi/>
        <w:jc w:val="both"/>
        <w:rPr>
          <w:rFonts w:ascii="Calibri" w:eastAsia="Calibri" w:hAnsi="Calibri" w:cs="Calibri"/>
          <w:color w:val="FF0000"/>
        </w:rPr>
      </w:pPr>
      <w:r>
        <w:rPr>
          <w:rFonts w:ascii="Calibri" w:eastAsia="Calibri" w:hAnsi="Calibri" w:cs="Calibri"/>
          <w:rtl/>
        </w:rPr>
        <w:t xml:space="preserve">مدة 6 أشهر أو سنة تبدو جيدة نظريًا للفصل </w:t>
      </w:r>
      <w:r w:rsidR="00A526C2">
        <w:rPr>
          <w:rFonts w:ascii="Calibri" w:eastAsia="Calibri" w:hAnsi="Calibri" w:cs="Calibri" w:hint="cs"/>
          <w:rtl/>
        </w:rPr>
        <w:t>في</w:t>
      </w:r>
      <w:r>
        <w:rPr>
          <w:rFonts w:ascii="Calibri" w:eastAsia="Calibri" w:hAnsi="Calibri" w:cs="Calibri"/>
          <w:rtl/>
        </w:rPr>
        <w:t xml:space="preserve"> الطلب، لكن لا يوجد جزاء إذا تجاوزت اللجنة المدة، بالتالي: قد تستمر الملفات عمليًا لسنوات، دون أثر قانوني واضح. </w:t>
      </w:r>
      <w:r>
        <w:rPr>
          <w:rFonts w:ascii="Calibri" w:eastAsia="Calibri" w:hAnsi="Calibri" w:cs="Calibri"/>
          <w:color w:val="FF0000"/>
          <w:rtl/>
        </w:rPr>
        <w:t xml:space="preserve">كما أن مدة السنة في حالة الدخول غير المشروع، قد تُعد طويلة نسبيًا إذا لم يكن هناك مبررًا لذلك. </w:t>
      </w:r>
    </w:p>
    <w:p w14:paraId="00000049" w14:textId="23AC5DD9" w:rsidR="00C4221C" w:rsidRDefault="00000000">
      <w:pPr>
        <w:bidi/>
        <w:jc w:val="both"/>
        <w:rPr>
          <w:rFonts w:ascii="Calibri" w:eastAsia="Calibri" w:hAnsi="Calibri" w:cs="Calibri"/>
          <w:color w:val="FF0000"/>
        </w:rPr>
      </w:pPr>
      <w:r>
        <w:rPr>
          <w:rFonts w:ascii="Calibri" w:eastAsia="Calibri" w:hAnsi="Calibri" w:cs="Calibri"/>
          <w:color w:val="FF0000"/>
          <w:rtl/>
        </w:rPr>
        <w:t>و</w:t>
      </w:r>
      <w:r w:rsidR="00A526C2">
        <w:rPr>
          <w:rFonts w:ascii="Calibri" w:eastAsia="Calibri" w:hAnsi="Calibri" w:cs="Calibri" w:hint="cs"/>
          <w:color w:val="FF0000"/>
          <w:rtl/>
        </w:rPr>
        <w:t>أخيرا</w:t>
      </w:r>
      <w:r>
        <w:rPr>
          <w:rFonts w:ascii="Calibri" w:eastAsia="Calibri" w:hAnsi="Calibri" w:cs="Calibri"/>
          <w:color w:val="FF0000"/>
          <w:rtl/>
        </w:rPr>
        <w:t xml:space="preserve"> لم تنص المادة على تسليم نُسخة من القرار، على الرُغم من النص على الاعلان، فلم تنص المادة على تسليم نُسخة مكتوبة من القرار واسبابه. </w:t>
      </w:r>
    </w:p>
    <w:p w14:paraId="0000004A" w14:textId="6936F8A1" w:rsidR="00C4221C" w:rsidRDefault="00000000">
      <w:pPr>
        <w:bidi/>
        <w:spacing w:before="240"/>
        <w:rPr>
          <w:rFonts w:ascii="Calibri" w:eastAsia="Calibri" w:hAnsi="Calibri" w:cs="Calibri"/>
          <w:b/>
          <w:bCs/>
          <w:color w:val="EE0000"/>
        </w:rPr>
      </w:pPr>
      <w:r>
        <w:rPr>
          <w:rFonts w:ascii="Calibri" w:eastAsia="Calibri" w:hAnsi="Calibri" w:cs="Calibri"/>
          <w:b/>
          <w:bCs/>
          <w:color w:val="EE0000"/>
          <w:rtl/>
        </w:rPr>
        <w:t>المادة (15)</w:t>
      </w:r>
      <w:r w:rsidR="00A526C2">
        <w:rPr>
          <w:rFonts w:ascii="Calibri" w:eastAsia="Calibri" w:hAnsi="Calibri" w:cs="Calibri" w:hint="cs"/>
          <w:b/>
          <w:bCs/>
          <w:color w:val="EE0000"/>
          <w:rtl/>
        </w:rPr>
        <w:t>:</w:t>
      </w:r>
      <w:r>
        <w:rPr>
          <w:rFonts w:ascii="Calibri" w:eastAsia="Calibri" w:hAnsi="Calibri" w:cs="Calibri"/>
          <w:b/>
          <w:bCs/>
          <w:color w:val="EE0000"/>
          <w:rtl/>
        </w:rPr>
        <w:t xml:space="preserve"> </w:t>
      </w:r>
      <w:r w:rsidR="00A526C2">
        <w:rPr>
          <w:rFonts w:ascii="Calibri" w:eastAsia="Calibri" w:hAnsi="Calibri" w:cs="Calibri" w:hint="cs"/>
          <w:b/>
          <w:bCs/>
          <w:color w:val="EE0000"/>
          <w:rtl/>
        </w:rPr>
        <w:t>"</w:t>
      </w:r>
      <w:r>
        <w:rPr>
          <w:rFonts w:ascii="Calibri" w:eastAsia="Calibri" w:hAnsi="Calibri" w:cs="Calibri"/>
          <w:b/>
          <w:bCs/>
          <w:color w:val="EE0000"/>
          <w:rtl/>
        </w:rPr>
        <w:t>التدابير المؤقتة”</w:t>
      </w:r>
    </w:p>
    <w:p w14:paraId="0000004B" w14:textId="2BF08CE6" w:rsidR="00C4221C" w:rsidRDefault="00000000">
      <w:pPr>
        <w:bidi/>
        <w:jc w:val="both"/>
        <w:rPr>
          <w:rFonts w:ascii="Calibri" w:eastAsia="Calibri" w:hAnsi="Calibri" w:cs="Calibri"/>
          <w:b/>
          <w:bCs/>
          <w:color w:val="EE0000"/>
        </w:rPr>
      </w:pPr>
      <w:r>
        <w:rPr>
          <w:rFonts w:ascii="Calibri" w:eastAsia="Calibri" w:hAnsi="Calibri" w:cs="Calibri"/>
          <w:rtl/>
        </w:rPr>
        <w:lastRenderedPageBreak/>
        <w:t>من أكثر المواد إثارة للقلق، لأنها تمس حرية طالب اللجوء وحقوقه أثناء</w:t>
      </w:r>
      <w:r>
        <w:rPr>
          <w:rFonts w:ascii="Calibri" w:eastAsia="Calibri" w:hAnsi="Calibri" w:cs="Calibri"/>
        </w:rPr>
        <w:t xml:space="preserve"> </w:t>
      </w:r>
      <w:r>
        <w:rPr>
          <w:rFonts w:ascii="Calibri" w:eastAsia="Calibri" w:hAnsi="Calibri" w:cs="Calibri"/>
          <w:rtl/>
        </w:rPr>
        <w:t>فترة</w:t>
      </w:r>
      <w:r>
        <w:rPr>
          <w:rFonts w:ascii="Calibri" w:eastAsia="Calibri" w:hAnsi="Calibri" w:cs="Calibri"/>
        </w:rPr>
        <w:t xml:space="preserve"> </w:t>
      </w:r>
      <w:r>
        <w:rPr>
          <w:rFonts w:ascii="Calibri" w:eastAsia="Calibri" w:hAnsi="Calibri" w:cs="Calibri"/>
          <w:rtl/>
        </w:rPr>
        <w:t xml:space="preserve">دراسة </w:t>
      </w:r>
      <w:r w:rsidR="00A526C2">
        <w:rPr>
          <w:rFonts w:ascii="Calibri" w:eastAsia="Calibri" w:hAnsi="Calibri" w:cs="Calibri" w:hint="cs"/>
          <w:rtl/>
        </w:rPr>
        <w:t>الطلب، إذ</w:t>
      </w:r>
      <w:r>
        <w:rPr>
          <w:rFonts w:ascii="Calibri" w:eastAsia="Calibri" w:hAnsi="Calibri" w:cs="Calibri"/>
          <w:rtl/>
        </w:rPr>
        <w:t xml:space="preserve"> تسمح بالحضور الدوري، والفحص الطبي المتكرر، والإبلاغ الإجباري، والإشكالية أنه لا يوجد تعريف لمعيار الخطورة أو لمعيار الضرورة، كما لا يوجد مراجعة قضائية تلقائية أو سقف زمني نهائي.</w:t>
      </w:r>
      <w:r>
        <w:rPr>
          <w:rFonts w:ascii="Calibri" w:eastAsia="Calibri" w:hAnsi="Calibri" w:cs="Calibri"/>
          <w:color w:val="FF0000"/>
          <w:rtl/>
        </w:rPr>
        <w:t xml:space="preserve">  كما ان المادة لم تضع تعريفًا دقيقًا "لاعتبارات الأمن القومي والنظام </w:t>
      </w:r>
      <w:r w:rsidR="00A526C2">
        <w:rPr>
          <w:rFonts w:ascii="Calibri" w:eastAsia="Calibri" w:hAnsi="Calibri" w:cs="Calibri" w:hint="cs"/>
          <w:color w:val="FF0000"/>
          <w:rtl/>
        </w:rPr>
        <w:t>العام، وترك</w:t>
      </w:r>
      <w:r>
        <w:rPr>
          <w:rFonts w:ascii="Calibri" w:eastAsia="Calibri" w:hAnsi="Calibri" w:cs="Calibri"/>
          <w:color w:val="FF0000"/>
          <w:rtl/>
        </w:rPr>
        <w:t xml:space="preserve"> المساحة واسعة للسلطة التنفيذية. </w:t>
      </w:r>
    </w:p>
    <w:p w14:paraId="0000004C" w14:textId="77777777" w:rsidR="00C4221C" w:rsidRDefault="00000000">
      <w:pPr>
        <w:bidi/>
        <w:spacing w:before="240"/>
        <w:rPr>
          <w:rFonts w:ascii="Calibri" w:eastAsia="Calibri" w:hAnsi="Calibri" w:cs="Calibri"/>
          <w:b/>
          <w:bCs/>
          <w:color w:val="EE0000"/>
        </w:rPr>
      </w:pPr>
      <w:r>
        <w:rPr>
          <w:rFonts w:ascii="Calibri" w:eastAsia="Calibri" w:hAnsi="Calibri" w:cs="Calibri"/>
          <w:b/>
          <w:bCs/>
          <w:color w:val="EE0000"/>
          <w:rtl/>
        </w:rPr>
        <w:t>المادة (16): "اعتبار الطلب مسحوبًا"</w:t>
      </w:r>
    </w:p>
    <w:p w14:paraId="0000004D" w14:textId="0902D61B" w:rsidR="00C4221C" w:rsidRDefault="00000000">
      <w:pPr>
        <w:bidi/>
        <w:jc w:val="both"/>
        <w:rPr>
          <w:rFonts w:ascii="Calibri" w:eastAsia="Calibri" w:hAnsi="Calibri" w:cs="Calibri"/>
        </w:rPr>
      </w:pPr>
      <w:r>
        <w:rPr>
          <w:rFonts w:ascii="Calibri" w:eastAsia="Calibri" w:hAnsi="Calibri" w:cs="Calibri"/>
          <w:rtl/>
        </w:rPr>
        <w:t xml:space="preserve">قد يعتبر الطلب متخلى عنه إذا: غاب عن مقابلة أو تعذر التواصل معه، والمشكلة الواقعية أن اللاجئون كثيرا ما يغيرون السكن، أو يفقدون الهاتف، ويعيشون في أوضاع غير </w:t>
      </w:r>
      <w:r w:rsidR="00A526C2">
        <w:rPr>
          <w:rFonts w:ascii="Calibri" w:eastAsia="Calibri" w:hAnsi="Calibri" w:cs="Calibri" w:hint="cs"/>
          <w:rtl/>
        </w:rPr>
        <w:t>مستقرة، وبالتالي</w:t>
      </w:r>
      <w:r>
        <w:rPr>
          <w:rFonts w:ascii="Calibri" w:eastAsia="Calibri" w:hAnsi="Calibri" w:cs="Calibri"/>
          <w:rtl/>
        </w:rPr>
        <w:t xml:space="preserve"> قد يفقدون الحماية لأسباب إدارية بحتة.</w:t>
      </w:r>
    </w:p>
    <w:p w14:paraId="0000004E" w14:textId="21FFD3FB" w:rsidR="00C4221C" w:rsidRDefault="00A526C2">
      <w:pPr>
        <w:bidi/>
        <w:spacing w:before="240"/>
        <w:rPr>
          <w:rFonts w:ascii="Calibri" w:eastAsia="Calibri" w:hAnsi="Calibri" w:cs="Calibri"/>
          <w:b/>
          <w:bCs/>
          <w:color w:val="EE0000"/>
        </w:rPr>
      </w:pPr>
      <w:r>
        <w:rPr>
          <w:rFonts w:ascii="Calibri" w:eastAsia="Calibri" w:hAnsi="Calibri" w:cs="Calibri" w:hint="cs"/>
          <w:b/>
          <w:bCs/>
          <w:color w:val="EE0000"/>
          <w:rtl/>
        </w:rPr>
        <w:t xml:space="preserve">المادة </w:t>
      </w:r>
      <w:r>
        <w:rPr>
          <w:rFonts w:ascii="Calibri" w:eastAsia="Calibri" w:hAnsi="Calibri" w:cs="Calibri"/>
          <w:b/>
          <w:bCs/>
          <w:color w:val="EE0000"/>
          <w:rtl/>
        </w:rPr>
        <w:t>(</w:t>
      </w:r>
      <w:r w:rsidR="00000000">
        <w:rPr>
          <w:rFonts w:ascii="Calibri" w:eastAsia="Calibri" w:hAnsi="Calibri" w:cs="Calibri"/>
          <w:b/>
          <w:bCs/>
          <w:color w:val="EE0000"/>
          <w:rtl/>
        </w:rPr>
        <w:t>17): "رفض الطلب"</w:t>
      </w:r>
      <w:r w:rsidR="00000000">
        <w:rPr>
          <w:rFonts w:ascii="Calibri" w:eastAsia="Calibri" w:hAnsi="Calibri" w:cs="Calibri"/>
        </w:rPr>
        <w:t xml:space="preserve"> </w:t>
      </w:r>
    </w:p>
    <w:p w14:paraId="0000004F" w14:textId="768E4AE9" w:rsidR="00C4221C" w:rsidRDefault="00000000">
      <w:pPr>
        <w:bidi/>
        <w:jc w:val="both"/>
        <w:rPr>
          <w:rFonts w:ascii="Calibri" w:eastAsia="Calibri" w:hAnsi="Calibri" w:cs="Calibri"/>
          <w:color w:val="FF0000"/>
        </w:rPr>
      </w:pPr>
      <w:r>
        <w:rPr>
          <w:rFonts w:ascii="Calibri" w:eastAsia="Calibri" w:hAnsi="Calibri" w:cs="Calibri"/>
          <w:color w:val="FF0000"/>
          <w:rtl/>
        </w:rPr>
        <w:t xml:space="preserve">تنظم حالات رفض اللجوء، وتعد من أخطر المواد </w:t>
      </w:r>
      <w:r w:rsidR="00A526C2">
        <w:rPr>
          <w:rFonts w:ascii="Calibri" w:eastAsia="Calibri" w:hAnsi="Calibri" w:cs="Calibri" w:hint="cs"/>
          <w:color w:val="FF0000"/>
          <w:rtl/>
        </w:rPr>
        <w:t>لأنها</w:t>
      </w:r>
      <w:r>
        <w:rPr>
          <w:rFonts w:ascii="Calibri" w:eastAsia="Calibri" w:hAnsi="Calibri" w:cs="Calibri"/>
          <w:color w:val="FF0000"/>
          <w:rtl/>
        </w:rPr>
        <w:t xml:space="preserve"> تجيز للجنة رفض الطلب دون منح الحماية الدولية لطالب اللجوء، هذا بالإضافة </w:t>
      </w:r>
      <w:proofErr w:type="gramStart"/>
      <w:r>
        <w:rPr>
          <w:rFonts w:ascii="Calibri" w:eastAsia="Calibri" w:hAnsi="Calibri" w:cs="Calibri"/>
          <w:color w:val="FF0000"/>
          <w:rtl/>
        </w:rPr>
        <w:t>إلى:-</w:t>
      </w:r>
      <w:proofErr w:type="gramEnd"/>
      <w:r>
        <w:rPr>
          <w:rFonts w:ascii="Calibri" w:eastAsia="Calibri" w:hAnsi="Calibri" w:cs="Calibri"/>
          <w:color w:val="FF0000"/>
          <w:rtl/>
        </w:rPr>
        <w:t xml:space="preserve"> </w:t>
      </w:r>
    </w:p>
    <w:p w14:paraId="00000050" w14:textId="77777777" w:rsidR="00C4221C" w:rsidRDefault="00000000">
      <w:pPr>
        <w:bidi/>
        <w:jc w:val="both"/>
        <w:rPr>
          <w:rFonts w:ascii="Calibri" w:eastAsia="Calibri" w:hAnsi="Calibri" w:cs="Calibri"/>
        </w:rPr>
      </w:pPr>
      <w:r>
        <w:rPr>
          <w:rFonts w:ascii="Calibri" w:eastAsia="Calibri" w:hAnsi="Calibri" w:cs="Calibri"/>
          <w:rtl/>
        </w:rPr>
        <w:t xml:space="preserve">أولًا: الحماية الفعالة في دولة أخرى هو مفهوم غير معرف، ما المقصود بالحماية الفعالة؟ هل إقامة مؤقتة، هل تأشيرة، هل حماية دائمة؟ النص لا يجيب </w:t>
      </w:r>
    </w:p>
    <w:p w14:paraId="00000051" w14:textId="77777777" w:rsidR="00C4221C" w:rsidRDefault="00000000">
      <w:pPr>
        <w:bidi/>
        <w:jc w:val="both"/>
        <w:rPr>
          <w:rFonts w:ascii="Calibri" w:eastAsia="Calibri" w:hAnsi="Calibri" w:cs="Calibri"/>
        </w:rPr>
      </w:pPr>
      <w:r>
        <w:rPr>
          <w:rFonts w:ascii="Calibri" w:eastAsia="Calibri" w:hAnsi="Calibri" w:cs="Calibri"/>
          <w:rtl/>
        </w:rPr>
        <w:t xml:space="preserve">ثانيًا: تناقض الرواية هي عبارة واسعة للغاية، وحيث الصدمات النفسية تؤثر على الذاكرة والاختلافات البسيطة تكون شائعة في ملفات اللجوء، لذلك فإن الاستخدام المتشدد لهذا المعيار قد يؤدي إلى رفض طلبات صحيحة. </w:t>
      </w:r>
    </w:p>
    <w:p w14:paraId="00000052" w14:textId="77777777" w:rsidR="00C4221C" w:rsidRDefault="00000000">
      <w:pPr>
        <w:bidi/>
        <w:jc w:val="both"/>
        <w:rPr>
          <w:rFonts w:ascii="Calibri" w:eastAsia="Calibri" w:hAnsi="Calibri" w:cs="Calibri"/>
          <w:b/>
          <w:bCs/>
        </w:rPr>
      </w:pPr>
      <w:r>
        <w:rPr>
          <w:rFonts w:ascii="Calibri" w:eastAsia="Calibri" w:hAnsi="Calibri" w:cs="Calibri"/>
          <w:b/>
          <w:bCs/>
          <w:rtl/>
        </w:rPr>
        <w:t xml:space="preserve">ثالثًا: البديل الداخلي </w:t>
      </w:r>
      <w:r>
        <w:rPr>
          <w:rFonts w:ascii="Calibri" w:eastAsia="Calibri" w:hAnsi="Calibri" w:cs="Calibri"/>
          <w:rtl/>
        </w:rPr>
        <w:t xml:space="preserve">من أخطر المفاهيم لكن اللائحة لا تحدد إمكانية الوصول للمنطقة البديلة أو الأمن فيها وفرص المعيشة والخدمات بينما هذه شروط أساسية دوليا.  </w:t>
      </w:r>
    </w:p>
    <w:p w14:paraId="00000053" w14:textId="77777777" w:rsidR="00C4221C" w:rsidRDefault="00000000">
      <w:pPr>
        <w:bidi/>
        <w:spacing w:before="240"/>
        <w:rPr>
          <w:rFonts w:ascii="Calibri" w:eastAsia="Calibri" w:hAnsi="Calibri" w:cs="Calibri"/>
          <w:b/>
          <w:bCs/>
          <w:color w:val="EE0000"/>
        </w:rPr>
      </w:pPr>
      <w:r>
        <w:rPr>
          <w:rFonts w:ascii="Calibri" w:eastAsia="Calibri" w:hAnsi="Calibri" w:cs="Calibri"/>
          <w:b/>
          <w:bCs/>
          <w:color w:val="EE0000"/>
          <w:rtl/>
        </w:rPr>
        <w:t>المادة (18): "الإبعاد بعد الرفض"</w:t>
      </w:r>
    </w:p>
    <w:p w14:paraId="00000054" w14:textId="77777777" w:rsidR="00C4221C" w:rsidRDefault="00000000">
      <w:pPr>
        <w:bidi/>
        <w:jc w:val="both"/>
        <w:rPr>
          <w:rFonts w:ascii="Calibri" w:eastAsia="Calibri" w:hAnsi="Calibri" w:cs="Calibri"/>
        </w:rPr>
      </w:pPr>
      <w:r>
        <w:rPr>
          <w:rFonts w:ascii="Calibri" w:eastAsia="Calibri" w:hAnsi="Calibri" w:cs="Calibri"/>
          <w:rtl/>
        </w:rPr>
        <w:t xml:space="preserve">النص لا يكرر صراحة مبدأ عدم الإعادة القسرية، وكان من الأفضل النص على عدم تنفيذ الإبعاد إذا ترتب عليه خطر اضطهاد أو تعذيب أو تهديد للحياة.  </w:t>
      </w:r>
    </w:p>
    <w:p w14:paraId="00000055" w14:textId="29C98D17" w:rsidR="00C4221C" w:rsidRDefault="00000000">
      <w:pPr>
        <w:bidi/>
        <w:jc w:val="both"/>
        <w:rPr>
          <w:rFonts w:ascii="Calibri" w:eastAsia="Calibri" w:hAnsi="Calibri" w:cs="Calibri"/>
          <w:color w:val="FF0000"/>
        </w:rPr>
      </w:pPr>
      <w:r>
        <w:rPr>
          <w:rFonts w:ascii="Calibri" w:eastAsia="Calibri" w:hAnsi="Calibri" w:cs="Calibri"/>
          <w:color w:val="FF0000"/>
          <w:rtl/>
        </w:rPr>
        <w:t xml:space="preserve">ولم ينص المشرع في المادة على النص صراحة على وقف الأبعاد في حال اتخاذ الإجراءات القانونية، فالمشرع أقر على التظلم </w:t>
      </w:r>
      <w:r w:rsidR="00A526C2">
        <w:rPr>
          <w:rFonts w:ascii="Calibri" w:eastAsia="Calibri" w:hAnsi="Calibri" w:cs="Calibri" w:hint="cs"/>
          <w:color w:val="FF0000"/>
          <w:rtl/>
        </w:rPr>
        <w:t>الإداري</w:t>
      </w:r>
      <w:r w:rsidR="00A526C2">
        <w:rPr>
          <w:rFonts w:ascii="Calibri" w:eastAsia="Calibri" w:hAnsi="Calibri" w:cs="Calibri" w:hint="eastAsia"/>
          <w:color w:val="FF0000"/>
          <w:rtl/>
        </w:rPr>
        <w:t>،</w:t>
      </w:r>
      <w:r>
        <w:rPr>
          <w:rFonts w:ascii="Calibri" w:eastAsia="Calibri" w:hAnsi="Calibri" w:cs="Calibri"/>
          <w:color w:val="FF0000"/>
          <w:rtl/>
        </w:rPr>
        <w:t xml:space="preserve"> ولكن لم يتناول صراحة على أثر إقامة دعوى أمام محكمة القضاء الإداري. </w:t>
      </w:r>
    </w:p>
    <w:p w14:paraId="00000056" w14:textId="77777777" w:rsidR="00C4221C" w:rsidRDefault="00000000">
      <w:pPr>
        <w:bidi/>
        <w:spacing w:before="240"/>
        <w:rPr>
          <w:rFonts w:ascii="Calibri" w:eastAsia="Calibri" w:hAnsi="Calibri" w:cs="Calibri"/>
          <w:b/>
          <w:bCs/>
          <w:color w:val="EE0000"/>
        </w:rPr>
      </w:pPr>
      <w:r>
        <w:rPr>
          <w:rFonts w:ascii="Calibri" w:eastAsia="Calibri" w:hAnsi="Calibri" w:cs="Calibri"/>
          <w:b/>
          <w:bCs/>
          <w:color w:val="EE0000"/>
          <w:rtl/>
        </w:rPr>
        <w:t>المادة (19): "التظلم"</w:t>
      </w:r>
    </w:p>
    <w:p w14:paraId="00000057" w14:textId="77777777" w:rsidR="00C4221C" w:rsidRDefault="00000000">
      <w:pPr>
        <w:bidi/>
        <w:jc w:val="both"/>
        <w:rPr>
          <w:rFonts w:ascii="Calibri" w:eastAsia="Calibri" w:hAnsi="Calibri" w:cs="Calibri"/>
        </w:rPr>
      </w:pPr>
      <w:r>
        <w:rPr>
          <w:rFonts w:ascii="Calibri" w:eastAsia="Calibri" w:hAnsi="Calibri" w:cs="Calibri"/>
          <w:sz w:val="28"/>
          <w:szCs w:val="28"/>
        </w:rPr>
        <w:t xml:space="preserve"> </w:t>
      </w:r>
      <w:r>
        <w:rPr>
          <w:rFonts w:ascii="Calibri" w:eastAsia="Calibri" w:hAnsi="Calibri" w:cs="Calibri"/>
          <w:rtl/>
        </w:rPr>
        <w:t>في خلال 15 يوما فقط، وهذه مهلة قصيرة نسبيا، خاصة مع اللغة والترجمة وصعوبة الوصول لمحامٍ واعتبارات الوضع الاقتصادي، فإن كثير من الأنظمة تمنح مددا أطول.</w:t>
      </w:r>
    </w:p>
    <w:p w14:paraId="00000058" w14:textId="77777777" w:rsidR="00C4221C" w:rsidRDefault="00000000">
      <w:pPr>
        <w:bidi/>
        <w:jc w:val="both"/>
        <w:rPr>
          <w:rFonts w:ascii="Calibri" w:eastAsia="Calibri" w:hAnsi="Calibri" w:cs="Calibri"/>
          <w:color w:val="FF0000"/>
        </w:rPr>
      </w:pPr>
      <w:r>
        <w:rPr>
          <w:rFonts w:ascii="Calibri" w:eastAsia="Calibri" w:hAnsi="Calibri" w:cs="Calibri"/>
          <w:color w:val="FF0000"/>
          <w:rtl/>
        </w:rPr>
        <w:t xml:space="preserve"> ايضًا نرى أن المشرع منح اللجنة مصدرة القرار، نظر التظلم، فكان من الأحرى إنشاء لجنة مستقلة للتظلمات لتحقيق أكبر قدر من الحياد.</w:t>
      </w:r>
    </w:p>
    <w:p w14:paraId="00000059" w14:textId="77777777" w:rsidR="00C4221C" w:rsidRDefault="00000000">
      <w:pPr>
        <w:bidi/>
        <w:spacing w:before="240"/>
        <w:rPr>
          <w:rFonts w:ascii="Calibri" w:eastAsia="Calibri" w:hAnsi="Calibri" w:cs="Calibri"/>
          <w:b/>
          <w:bCs/>
          <w:color w:val="EE0000"/>
        </w:rPr>
      </w:pPr>
      <w:r>
        <w:rPr>
          <w:rFonts w:ascii="Calibri" w:eastAsia="Calibri" w:hAnsi="Calibri" w:cs="Calibri"/>
          <w:b/>
          <w:bCs/>
          <w:color w:val="EE0000"/>
          <w:rtl/>
        </w:rPr>
        <w:t>المادة (20): "الطعن القضائي"</w:t>
      </w:r>
    </w:p>
    <w:p w14:paraId="0000005A" w14:textId="77777777" w:rsidR="00C4221C" w:rsidRDefault="00000000">
      <w:pPr>
        <w:bidi/>
        <w:rPr>
          <w:rFonts w:ascii="Calibri" w:eastAsia="Calibri" w:hAnsi="Calibri" w:cs="Calibri"/>
        </w:rPr>
      </w:pPr>
      <w:r>
        <w:rPr>
          <w:rFonts w:ascii="Calibri" w:eastAsia="Calibri" w:hAnsi="Calibri" w:cs="Calibri"/>
          <w:rtl/>
        </w:rPr>
        <w:t>لا تنص على وقف تنفيذ قرار الإبعاد تلقائيا أثناء نظر الطعن، وهذه مسألة جوهرية وهامة.</w:t>
      </w:r>
    </w:p>
    <w:p w14:paraId="0000005B" w14:textId="77777777" w:rsidR="00C4221C" w:rsidRDefault="00000000">
      <w:pPr>
        <w:bidi/>
        <w:spacing w:before="240"/>
        <w:rPr>
          <w:rFonts w:ascii="Calibri" w:eastAsia="Calibri" w:hAnsi="Calibri" w:cs="Calibri"/>
          <w:b/>
          <w:bCs/>
          <w:color w:val="EE0000"/>
        </w:rPr>
      </w:pPr>
      <w:r>
        <w:rPr>
          <w:rFonts w:ascii="Calibri" w:eastAsia="Calibri" w:hAnsi="Calibri" w:cs="Calibri"/>
          <w:b/>
          <w:bCs/>
          <w:color w:val="EE0000"/>
          <w:rtl/>
        </w:rPr>
        <w:t>المادة (22): "الرعاية الصحية للاجئين"</w:t>
      </w:r>
    </w:p>
    <w:p w14:paraId="0000005C" w14:textId="77777777" w:rsidR="00C4221C" w:rsidRDefault="00000000">
      <w:pPr>
        <w:bidi/>
        <w:rPr>
          <w:rFonts w:ascii="Calibri" w:eastAsia="Calibri" w:hAnsi="Calibri" w:cs="Calibri"/>
        </w:rPr>
      </w:pPr>
      <w:r>
        <w:rPr>
          <w:rFonts w:ascii="Calibri" w:eastAsia="Calibri" w:hAnsi="Calibri" w:cs="Calibri"/>
          <w:rtl/>
        </w:rPr>
        <w:lastRenderedPageBreak/>
        <w:t>مادة تثير سؤالًا عمليا: هل التمويل والبنية الصحية قادرة على التنفيذ؟ لا توجد آلية تمويل واضحة.</w:t>
      </w:r>
    </w:p>
    <w:p w14:paraId="0000005D" w14:textId="77777777" w:rsidR="00C4221C" w:rsidRDefault="00000000">
      <w:pPr>
        <w:bidi/>
        <w:spacing w:before="240"/>
        <w:rPr>
          <w:rFonts w:ascii="Calibri" w:eastAsia="Calibri" w:hAnsi="Calibri" w:cs="Calibri"/>
          <w:b/>
          <w:bCs/>
          <w:color w:val="EE0000"/>
        </w:rPr>
      </w:pPr>
      <w:r>
        <w:rPr>
          <w:rFonts w:ascii="Calibri" w:eastAsia="Calibri" w:hAnsi="Calibri" w:cs="Calibri"/>
          <w:b/>
          <w:bCs/>
          <w:color w:val="EE0000"/>
          <w:rtl/>
        </w:rPr>
        <w:t>المادة (23): "خدمات طالبي اللجوء"</w:t>
      </w:r>
    </w:p>
    <w:p w14:paraId="0000005E" w14:textId="77777777" w:rsidR="00C4221C" w:rsidRDefault="00000000">
      <w:pPr>
        <w:bidi/>
        <w:jc w:val="both"/>
        <w:rPr>
          <w:rFonts w:ascii="Calibri" w:eastAsia="Calibri" w:hAnsi="Calibri" w:cs="Calibri"/>
        </w:rPr>
      </w:pPr>
      <w:r>
        <w:rPr>
          <w:rFonts w:ascii="Calibri" w:eastAsia="Calibri" w:hAnsi="Calibri" w:cs="Calibri"/>
          <w:rtl/>
        </w:rPr>
        <w:t>النص يتحدث عن "التنسيق لتيسير الدعم"، ولا يقرر حقا مباشرا واجب النفاذ، لذلك قد تختلف الخدمة فعليا من حالة لأخرى.</w:t>
      </w:r>
    </w:p>
    <w:p w14:paraId="0000005F" w14:textId="59EAA693" w:rsidR="00C4221C" w:rsidRDefault="00000000">
      <w:pPr>
        <w:bidi/>
        <w:jc w:val="both"/>
        <w:rPr>
          <w:rFonts w:ascii="Calibri" w:eastAsia="Calibri" w:hAnsi="Calibri" w:cs="Calibri"/>
          <w:color w:val="FF0000"/>
        </w:rPr>
      </w:pPr>
      <w:r>
        <w:rPr>
          <w:rFonts w:ascii="Calibri" w:eastAsia="Calibri" w:hAnsi="Calibri" w:cs="Calibri"/>
          <w:color w:val="FF0000"/>
          <w:rtl/>
        </w:rPr>
        <w:t xml:space="preserve">ولم تحدد المادة ماهية الخدمات الانسانية والاجتماعية الأساسية، وترك سلطة تقديرية واسعة لها، ولم تحدد مستوى الرعاية الصحية، </w:t>
      </w:r>
      <w:r w:rsidR="00A526C2">
        <w:rPr>
          <w:rFonts w:ascii="Calibri" w:eastAsia="Calibri" w:hAnsi="Calibri" w:cs="Calibri" w:hint="cs"/>
          <w:color w:val="FF0000"/>
          <w:rtl/>
        </w:rPr>
        <w:t>وأخيرا</w:t>
      </w:r>
      <w:r>
        <w:rPr>
          <w:rFonts w:ascii="Calibri" w:eastAsia="Calibri" w:hAnsi="Calibri" w:cs="Calibri"/>
          <w:color w:val="FF0000"/>
          <w:rtl/>
        </w:rPr>
        <w:t xml:space="preserve"> لم تنظم آلية التظلم إذا تعذر حصول طالب اللجوء على هذه الخدمات.</w:t>
      </w:r>
    </w:p>
    <w:p w14:paraId="00000060" w14:textId="77777777" w:rsidR="00C4221C" w:rsidRDefault="00000000">
      <w:pPr>
        <w:bidi/>
        <w:spacing w:before="240"/>
        <w:rPr>
          <w:rFonts w:ascii="Calibri" w:eastAsia="Calibri" w:hAnsi="Calibri" w:cs="Calibri"/>
          <w:b/>
          <w:bCs/>
          <w:color w:val="EE0000"/>
        </w:rPr>
      </w:pPr>
      <w:r>
        <w:rPr>
          <w:rFonts w:ascii="Calibri" w:eastAsia="Calibri" w:hAnsi="Calibri" w:cs="Calibri"/>
          <w:b/>
          <w:bCs/>
          <w:color w:val="EE0000"/>
          <w:rtl/>
        </w:rPr>
        <w:t>المادة (24): "التزامات طالب اللجوء"</w:t>
      </w:r>
    </w:p>
    <w:p w14:paraId="00000061" w14:textId="77777777" w:rsidR="00C4221C" w:rsidRDefault="00000000">
      <w:pPr>
        <w:bidi/>
        <w:jc w:val="both"/>
        <w:rPr>
          <w:rFonts w:ascii="Calibri" w:eastAsia="Calibri" w:hAnsi="Calibri" w:cs="Calibri"/>
        </w:rPr>
      </w:pPr>
      <w:r>
        <w:rPr>
          <w:rFonts w:ascii="Calibri" w:eastAsia="Calibri" w:hAnsi="Calibri" w:cs="Calibri"/>
          <w:rtl/>
        </w:rPr>
        <w:t xml:space="preserve">تفرض المادة واجب الإخطار بالتغيرات. التزام الإخطار قبل مغادرة البلاد، النص لا يوضح آثار عدم الإخطار أو الوضع </w:t>
      </w:r>
      <w:proofErr w:type="spellStart"/>
      <w:r>
        <w:rPr>
          <w:rFonts w:ascii="Calibri" w:eastAsia="Calibri" w:hAnsi="Calibri" w:cs="Calibri"/>
          <w:rtl/>
        </w:rPr>
        <w:t>فى</w:t>
      </w:r>
      <w:proofErr w:type="spellEnd"/>
      <w:r>
        <w:rPr>
          <w:rFonts w:ascii="Calibri" w:eastAsia="Calibri" w:hAnsi="Calibri" w:cs="Calibri"/>
          <w:rtl/>
        </w:rPr>
        <w:t xml:space="preserve"> الحالات الطارئة، أيضا اشتراط الإبلاغ عن أي إجراءات جنائية قد يثير إشكالات تتعلق بقرينة البراءة إذا فسر بشكل متوسع. </w:t>
      </w:r>
    </w:p>
    <w:p w14:paraId="00000062" w14:textId="77777777" w:rsidR="00C4221C" w:rsidRDefault="00000000">
      <w:pPr>
        <w:bidi/>
        <w:jc w:val="both"/>
        <w:rPr>
          <w:rFonts w:ascii="Calibri" w:eastAsia="Calibri" w:hAnsi="Calibri" w:cs="Calibri"/>
          <w:color w:val="FF0000"/>
        </w:rPr>
      </w:pPr>
      <w:r>
        <w:rPr>
          <w:rFonts w:ascii="Calibri" w:eastAsia="Calibri" w:hAnsi="Calibri" w:cs="Calibri"/>
          <w:color w:val="FF0000"/>
          <w:rtl/>
        </w:rPr>
        <w:t xml:space="preserve">أما عن الفقرة الثالثة من المادة 24، لم يحدد المشرع معيار حالات الضرورة، وعدم النص على آلية التظلم من قرار الاقامة في دور الرعاية أو المساكن الآمنة. </w:t>
      </w:r>
    </w:p>
    <w:p w14:paraId="00000063" w14:textId="77777777" w:rsidR="00C4221C" w:rsidRDefault="00000000">
      <w:pPr>
        <w:bidi/>
        <w:jc w:val="both"/>
        <w:rPr>
          <w:rFonts w:ascii="Calibri" w:eastAsia="Calibri" w:hAnsi="Calibri" w:cs="Calibri"/>
          <w:color w:val="FF0000"/>
        </w:rPr>
      </w:pPr>
      <w:r>
        <w:rPr>
          <w:rFonts w:ascii="Calibri" w:eastAsia="Calibri" w:hAnsi="Calibri" w:cs="Calibri"/>
          <w:color w:val="FF0000"/>
          <w:rtl/>
        </w:rPr>
        <w:t xml:space="preserve">وايضًا، بالفقرة الرابعة لم يرد استثناء في عبء الاخطار " سبعة أيام" فقد يكون مرهقًا للفئات الأكثر هشاشة "ذوي الهمم، أو الأطفال غير المصحوبين…".  </w:t>
      </w:r>
    </w:p>
    <w:p w14:paraId="00000064" w14:textId="77777777" w:rsidR="00C4221C" w:rsidRDefault="00000000">
      <w:pPr>
        <w:bidi/>
        <w:spacing w:before="240"/>
        <w:rPr>
          <w:rFonts w:ascii="Calibri" w:eastAsia="Calibri" w:hAnsi="Calibri" w:cs="Calibri"/>
          <w:b/>
          <w:bCs/>
          <w:color w:val="EE0000"/>
        </w:rPr>
      </w:pPr>
      <w:r>
        <w:rPr>
          <w:rFonts w:ascii="Calibri" w:eastAsia="Calibri" w:hAnsi="Calibri" w:cs="Calibri"/>
          <w:b/>
          <w:bCs/>
          <w:color w:val="EE0000"/>
          <w:rtl/>
        </w:rPr>
        <w:t>المادة (25): "محل الإقامة والإعلانات"</w:t>
      </w:r>
    </w:p>
    <w:p w14:paraId="00000065" w14:textId="10D732AF" w:rsidR="00C4221C" w:rsidRDefault="00000000">
      <w:pPr>
        <w:bidi/>
        <w:jc w:val="both"/>
        <w:rPr>
          <w:rFonts w:ascii="Calibri" w:eastAsia="Calibri" w:hAnsi="Calibri" w:cs="Calibri"/>
        </w:rPr>
      </w:pPr>
      <w:r>
        <w:rPr>
          <w:rFonts w:ascii="Calibri" w:eastAsia="Calibri" w:hAnsi="Calibri" w:cs="Calibri"/>
          <w:rtl/>
        </w:rPr>
        <w:t xml:space="preserve">تنص المادة على الالتزام بتحديد محل الإقامة، وتضع القواعد المنظمة للأخطار وآثاره القانونية، وتعد من المواد الخطيرة إجرائيا، يكفي إرسال الإخطار إلى العنوان </w:t>
      </w:r>
      <w:r w:rsidR="00A526C2">
        <w:rPr>
          <w:rFonts w:ascii="Calibri" w:eastAsia="Calibri" w:hAnsi="Calibri" w:cs="Calibri" w:hint="cs"/>
          <w:rtl/>
        </w:rPr>
        <w:t>المسجل</w:t>
      </w:r>
      <w:r w:rsidR="00A526C2">
        <w:rPr>
          <w:rFonts w:ascii="Calibri" w:eastAsia="Calibri" w:hAnsi="Calibri" w:cs="Calibri" w:hint="eastAsia"/>
          <w:rtl/>
        </w:rPr>
        <w:t>،</w:t>
      </w:r>
      <w:r>
        <w:rPr>
          <w:rFonts w:ascii="Calibri" w:eastAsia="Calibri" w:hAnsi="Calibri" w:cs="Calibri"/>
          <w:rtl/>
        </w:rPr>
        <w:t xml:space="preserve"> حتى لو لم يصل فعليا، قد يفقد طالب اللجوء موعد المقابلة، أو فرصة التظلم أو حق الطعن بسبب مشاكل السكن أو الاتصال.</w:t>
      </w:r>
    </w:p>
    <w:p w14:paraId="00000066" w14:textId="77777777" w:rsidR="00C4221C" w:rsidRDefault="00000000">
      <w:pPr>
        <w:bidi/>
        <w:jc w:val="both"/>
        <w:rPr>
          <w:rFonts w:ascii="Calibri" w:eastAsia="Calibri" w:hAnsi="Calibri" w:cs="Calibri"/>
          <w:color w:val="FF0000"/>
        </w:rPr>
      </w:pPr>
      <w:r>
        <w:rPr>
          <w:rFonts w:ascii="Calibri" w:eastAsia="Calibri" w:hAnsi="Calibri" w:cs="Calibri"/>
          <w:color w:val="FF0000"/>
          <w:rtl/>
        </w:rPr>
        <w:t xml:space="preserve">كما تجدر الإشارة إلى أن النص أعطى حُجية للإعلان الإلكتروني دون تحديد تفصيلي لوسائل إثبات الاستلام خاصة في القرارات الجوهرية، فقد يواجه طالبي اللجوء صعوبة في التقنيات أو صعوبة لغوية. </w:t>
      </w:r>
    </w:p>
    <w:p w14:paraId="00000067" w14:textId="77777777" w:rsidR="00C4221C" w:rsidRDefault="00000000">
      <w:pPr>
        <w:bidi/>
        <w:jc w:val="both"/>
        <w:rPr>
          <w:rFonts w:ascii="Calibri" w:eastAsia="Calibri" w:hAnsi="Calibri" w:cs="Calibri"/>
          <w:b/>
          <w:bCs/>
          <w:color w:val="EE0000"/>
        </w:rPr>
      </w:pPr>
      <w:r>
        <w:rPr>
          <w:rFonts w:ascii="Calibri" w:eastAsia="Calibri" w:hAnsi="Calibri" w:cs="Calibri"/>
        </w:rPr>
        <w:t xml:space="preserve">  </w:t>
      </w:r>
      <w:r>
        <w:rPr>
          <w:rFonts w:ascii="Calibri" w:eastAsia="Calibri" w:hAnsi="Calibri" w:cs="Calibri"/>
          <w:b/>
          <w:bCs/>
          <w:color w:val="EE0000"/>
          <w:rtl/>
        </w:rPr>
        <w:t>المادة 26: التدابير المؤقتة في زمن الحرب أو مكافحة الإرهاب أو الظروف الاستثنائية</w:t>
      </w:r>
    </w:p>
    <w:p w14:paraId="00000068" w14:textId="79C10AAA" w:rsidR="00C4221C" w:rsidRDefault="00000000">
      <w:pPr>
        <w:bidi/>
        <w:jc w:val="both"/>
        <w:rPr>
          <w:rFonts w:ascii="Calibri" w:eastAsia="Calibri" w:hAnsi="Calibri" w:cs="Calibri"/>
          <w:color w:val="FF0000"/>
        </w:rPr>
      </w:pPr>
      <w:r>
        <w:rPr>
          <w:rFonts w:ascii="Calibri" w:eastAsia="Calibri" w:hAnsi="Calibri" w:cs="Calibri"/>
          <w:color w:val="FF0000"/>
          <w:rtl/>
        </w:rPr>
        <w:t xml:space="preserve">منح المشرع اللجنة سلطة اتخاذ </w:t>
      </w:r>
      <w:r w:rsidR="00A526C2">
        <w:rPr>
          <w:rFonts w:ascii="Calibri" w:eastAsia="Calibri" w:hAnsi="Calibri" w:cs="Calibri" w:hint="cs"/>
          <w:color w:val="FF0000"/>
          <w:rtl/>
        </w:rPr>
        <w:t>فرض تدابير</w:t>
      </w:r>
      <w:r>
        <w:rPr>
          <w:rFonts w:ascii="Calibri" w:eastAsia="Calibri" w:hAnsi="Calibri" w:cs="Calibri"/>
          <w:color w:val="FF0000"/>
          <w:rtl/>
        </w:rPr>
        <w:t xml:space="preserve"> إدارية ذات طابع أمني، استثنائية، في أوقات الحرب أو مكافحة الإرهاب أو الظروف الاستثنائية. </w:t>
      </w:r>
    </w:p>
    <w:p w14:paraId="00000069" w14:textId="3F59D208" w:rsidR="00C4221C" w:rsidRDefault="00000000">
      <w:pPr>
        <w:bidi/>
        <w:jc w:val="both"/>
        <w:rPr>
          <w:rFonts w:ascii="Calibri" w:eastAsia="Calibri" w:hAnsi="Calibri" w:cs="Calibri"/>
          <w:color w:val="FF0000"/>
        </w:rPr>
      </w:pPr>
      <w:r>
        <w:rPr>
          <w:rFonts w:ascii="Calibri" w:eastAsia="Calibri" w:hAnsi="Calibri" w:cs="Calibri"/>
          <w:color w:val="FF0000"/>
          <w:rtl/>
        </w:rPr>
        <w:t xml:space="preserve"> قيدت الفقرة الثانية من الحق في حرية التنقل، وهي أشبه </w:t>
      </w:r>
      <w:r w:rsidR="00A526C2">
        <w:rPr>
          <w:rFonts w:ascii="Calibri" w:eastAsia="Calibri" w:hAnsi="Calibri" w:cs="Calibri" w:hint="cs"/>
          <w:color w:val="FF0000"/>
          <w:rtl/>
        </w:rPr>
        <w:t>بالإقامة</w:t>
      </w:r>
      <w:r>
        <w:rPr>
          <w:rFonts w:ascii="Calibri" w:eastAsia="Calibri" w:hAnsi="Calibri" w:cs="Calibri"/>
          <w:color w:val="FF0000"/>
          <w:rtl/>
        </w:rPr>
        <w:t xml:space="preserve"> الجبرية في حال طول الأمد.  أما عن الفقرة الخامسة، قد تؤدي إلى طول أمد إجراءات اللجوء في حال استمرار الظرف الاستثنائي.</w:t>
      </w:r>
    </w:p>
    <w:p w14:paraId="0000006A" w14:textId="77777777" w:rsidR="00C4221C" w:rsidRDefault="00000000">
      <w:pPr>
        <w:bidi/>
        <w:jc w:val="both"/>
        <w:rPr>
          <w:rFonts w:ascii="Calibri" w:eastAsia="Calibri" w:hAnsi="Calibri" w:cs="Calibri"/>
          <w:color w:val="FF0000"/>
        </w:rPr>
      </w:pPr>
      <w:r>
        <w:rPr>
          <w:rFonts w:ascii="Calibri" w:eastAsia="Calibri" w:hAnsi="Calibri" w:cs="Calibri"/>
          <w:color w:val="FF0000"/>
          <w:rtl/>
        </w:rPr>
        <w:t>وايضًا حدد المشرع سريان التدابير لمدة ثلاثة أشهر، وأجاز للجنة تجديدها لمدد أخرى، دون تحديد حد أقصى لمرات التجديد.</w:t>
      </w:r>
    </w:p>
    <w:p w14:paraId="0000006B" w14:textId="072267BB" w:rsidR="00C4221C" w:rsidRDefault="00A526C2">
      <w:pPr>
        <w:bidi/>
        <w:spacing w:before="240"/>
        <w:rPr>
          <w:rFonts w:ascii="Calibri" w:eastAsia="Calibri" w:hAnsi="Calibri" w:cs="Calibri"/>
          <w:b/>
          <w:bCs/>
          <w:color w:val="EE0000"/>
        </w:rPr>
      </w:pPr>
      <w:r>
        <w:rPr>
          <w:rFonts w:ascii="Calibri" w:eastAsia="Calibri" w:hAnsi="Calibri" w:cs="Calibri" w:hint="cs"/>
          <w:b/>
          <w:bCs/>
          <w:color w:val="EE0000"/>
          <w:rtl/>
        </w:rPr>
        <w:t xml:space="preserve">المادة </w:t>
      </w:r>
      <w:r>
        <w:rPr>
          <w:rFonts w:ascii="Calibri" w:eastAsia="Calibri" w:hAnsi="Calibri" w:cs="Calibri"/>
          <w:b/>
          <w:bCs/>
          <w:color w:val="EE0000"/>
          <w:rtl/>
        </w:rPr>
        <w:t>(</w:t>
      </w:r>
      <w:r w:rsidR="00000000">
        <w:rPr>
          <w:rFonts w:ascii="Calibri" w:eastAsia="Calibri" w:hAnsi="Calibri" w:cs="Calibri"/>
          <w:b/>
          <w:bCs/>
          <w:color w:val="EE0000"/>
          <w:rtl/>
        </w:rPr>
        <w:t>28): بطاقة طالب اللجوء</w:t>
      </w:r>
    </w:p>
    <w:p w14:paraId="0000006C" w14:textId="77777777" w:rsidR="00C4221C" w:rsidRDefault="00000000">
      <w:pPr>
        <w:bidi/>
        <w:rPr>
          <w:rFonts w:ascii="Calibri" w:eastAsia="Calibri" w:hAnsi="Calibri" w:cs="Calibri"/>
          <w:color w:val="FF0000"/>
        </w:rPr>
      </w:pPr>
      <w:r>
        <w:rPr>
          <w:rFonts w:ascii="Calibri" w:eastAsia="Calibri" w:hAnsi="Calibri" w:cs="Calibri"/>
          <w:rtl/>
        </w:rPr>
        <w:t xml:space="preserve">لا تمنح حقوقًا محددة بنفسها، بل مجرد إثبات تسجيل، وقد يؤدي ذلك إلى صعوبات عملية في بعض المعاملات. </w:t>
      </w:r>
    </w:p>
    <w:p w14:paraId="0000006D" w14:textId="5D9F5F7D" w:rsidR="00C4221C" w:rsidRDefault="00A526C2">
      <w:pPr>
        <w:bidi/>
        <w:rPr>
          <w:rFonts w:ascii="Calibri" w:eastAsia="Calibri" w:hAnsi="Calibri" w:cs="Calibri"/>
          <w:color w:val="FF0000"/>
        </w:rPr>
      </w:pPr>
      <w:r>
        <w:rPr>
          <w:rFonts w:ascii="Calibri" w:eastAsia="Calibri" w:hAnsi="Calibri" w:cs="Calibri" w:hint="cs"/>
          <w:color w:val="FF0000"/>
          <w:rtl/>
        </w:rPr>
        <w:t>أ</w:t>
      </w:r>
      <w:r w:rsidR="00000000">
        <w:rPr>
          <w:rFonts w:ascii="Calibri" w:eastAsia="Calibri" w:hAnsi="Calibri" w:cs="Calibri"/>
          <w:color w:val="FF0000"/>
          <w:rtl/>
        </w:rPr>
        <w:t>يضًا لم يُنظم المشرع آلية تظلم في حال رفض التجديد أو الامتناع عن الإصدار، كما غفل النص عن ذكر آثار تأخر تجديد البطاقة</w:t>
      </w:r>
      <w:r w:rsidR="00000000">
        <w:rPr>
          <w:rFonts w:ascii="Calibri" w:eastAsia="Calibri" w:hAnsi="Calibri" w:cs="Calibri"/>
          <w:color w:val="FF0000"/>
        </w:rPr>
        <w:t xml:space="preserve">. </w:t>
      </w:r>
    </w:p>
    <w:p w14:paraId="0000006E" w14:textId="77777777" w:rsidR="00C4221C" w:rsidRDefault="00C4221C">
      <w:pPr>
        <w:bidi/>
        <w:rPr>
          <w:rFonts w:ascii="Calibri" w:eastAsia="Calibri" w:hAnsi="Calibri" w:cs="Calibri"/>
        </w:rPr>
      </w:pPr>
    </w:p>
    <w:p w14:paraId="0000006F" w14:textId="58D37A87" w:rsidR="00C4221C" w:rsidRDefault="00A526C2">
      <w:pPr>
        <w:bidi/>
        <w:spacing w:before="240"/>
        <w:rPr>
          <w:rFonts w:ascii="Calibri" w:eastAsia="Calibri" w:hAnsi="Calibri" w:cs="Calibri"/>
          <w:b/>
          <w:bCs/>
          <w:color w:val="EE0000"/>
        </w:rPr>
      </w:pPr>
      <w:r>
        <w:rPr>
          <w:rFonts w:ascii="Calibri" w:eastAsia="Calibri" w:hAnsi="Calibri" w:cs="Calibri" w:hint="cs"/>
          <w:b/>
          <w:bCs/>
          <w:color w:val="EE0000"/>
          <w:rtl/>
        </w:rPr>
        <w:t xml:space="preserve">المادة </w:t>
      </w:r>
      <w:r>
        <w:rPr>
          <w:rFonts w:ascii="Calibri" w:eastAsia="Calibri" w:hAnsi="Calibri" w:cs="Calibri"/>
          <w:b/>
          <w:bCs/>
          <w:color w:val="EE0000"/>
          <w:rtl/>
        </w:rPr>
        <w:t>(</w:t>
      </w:r>
      <w:r w:rsidR="00000000">
        <w:rPr>
          <w:rFonts w:ascii="Calibri" w:eastAsia="Calibri" w:hAnsi="Calibri" w:cs="Calibri"/>
          <w:b/>
          <w:bCs/>
          <w:color w:val="EE0000"/>
          <w:rtl/>
        </w:rPr>
        <w:t>29): وثيقة اللاجئ</w:t>
      </w:r>
    </w:p>
    <w:p w14:paraId="00000070" w14:textId="77777777" w:rsidR="00C4221C" w:rsidRDefault="00000000">
      <w:pPr>
        <w:bidi/>
        <w:rPr>
          <w:rFonts w:ascii="Calibri" w:eastAsia="Calibri" w:hAnsi="Calibri" w:cs="Calibri"/>
        </w:rPr>
      </w:pPr>
      <w:r>
        <w:rPr>
          <w:rFonts w:ascii="Calibri" w:eastAsia="Calibri" w:hAnsi="Calibri" w:cs="Calibri"/>
          <w:rtl/>
        </w:rPr>
        <w:t>النص لا يوضح حقوق الوثيقة بالتفصيل، ومدى إلزام الجهات المختلفة بالاعتراف بها.</w:t>
      </w:r>
    </w:p>
    <w:p w14:paraId="00000071" w14:textId="48AFD481" w:rsidR="00C4221C" w:rsidRDefault="00A526C2">
      <w:pPr>
        <w:bidi/>
        <w:spacing w:before="240"/>
        <w:rPr>
          <w:rFonts w:ascii="Calibri" w:eastAsia="Calibri" w:hAnsi="Calibri" w:cs="Calibri"/>
          <w:b/>
          <w:bCs/>
          <w:color w:val="EE0000"/>
        </w:rPr>
      </w:pPr>
      <w:r>
        <w:rPr>
          <w:rFonts w:ascii="Calibri" w:eastAsia="Calibri" w:hAnsi="Calibri" w:cs="Calibri" w:hint="cs"/>
          <w:b/>
          <w:bCs/>
          <w:color w:val="EE0000"/>
          <w:rtl/>
        </w:rPr>
        <w:t xml:space="preserve">المادة </w:t>
      </w:r>
      <w:r>
        <w:rPr>
          <w:rFonts w:ascii="Calibri" w:eastAsia="Calibri" w:hAnsi="Calibri" w:cs="Calibri"/>
          <w:b/>
          <w:bCs/>
          <w:color w:val="EE0000"/>
          <w:rtl/>
        </w:rPr>
        <w:t>(</w:t>
      </w:r>
      <w:r w:rsidR="00000000">
        <w:rPr>
          <w:rFonts w:ascii="Calibri" w:eastAsia="Calibri" w:hAnsi="Calibri" w:cs="Calibri"/>
          <w:b/>
          <w:bCs/>
          <w:color w:val="EE0000"/>
          <w:rtl/>
        </w:rPr>
        <w:t>30): تجديد الوثيقة</w:t>
      </w:r>
    </w:p>
    <w:p w14:paraId="00000072" w14:textId="03FDF97D" w:rsidR="00C4221C" w:rsidRDefault="00000000">
      <w:pPr>
        <w:bidi/>
        <w:jc w:val="both"/>
        <w:rPr>
          <w:rFonts w:ascii="Calibri" w:eastAsia="Calibri" w:hAnsi="Calibri" w:cs="Calibri"/>
        </w:rPr>
      </w:pPr>
      <w:r>
        <w:rPr>
          <w:rFonts w:ascii="Calibri" w:eastAsia="Calibri" w:hAnsi="Calibri" w:cs="Calibri"/>
          <w:rtl/>
        </w:rPr>
        <w:t xml:space="preserve">يوضح النص أن الاعتراف بصفة اللاجئ ليس حقًا </w:t>
      </w:r>
      <w:r w:rsidR="00A526C2">
        <w:rPr>
          <w:rFonts w:ascii="Calibri" w:eastAsia="Calibri" w:hAnsi="Calibri" w:cs="Calibri" w:hint="cs"/>
          <w:rtl/>
        </w:rPr>
        <w:t>دائمًا</w:t>
      </w:r>
      <w:r w:rsidR="00A526C2">
        <w:rPr>
          <w:rFonts w:ascii="Calibri" w:eastAsia="Calibri" w:hAnsi="Calibri" w:cs="Calibri" w:hint="eastAsia"/>
          <w:rtl/>
        </w:rPr>
        <w:t>،</w:t>
      </w:r>
      <w:r>
        <w:rPr>
          <w:rFonts w:ascii="Calibri" w:eastAsia="Calibri" w:hAnsi="Calibri" w:cs="Calibri"/>
          <w:rtl/>
        </w:rPr>
        <w:t xml:space="preserve"> بل يخضع لفحص دوري، بيد أن إعادة تقييم أسباب اللجوء بشكل دوري قد يؤدي إلى حالة عدم استقرار قانوني مستمرة، خصوصا إذا تغيرت التقديرات السياسية لأوضاع دولة المنشأ. </w:t>
      </w:r>
    </w:p>
    <w:p w14:paraId="00000073" w14:textId="77777777" w:rsidR="00C4221C" w:rsidRDefault="00000000">
      <w:pPr>
        <w:bidi/>
        <w:jc w:val="both"/>
        <w:rPr>
          <w:rFonts w:ascii="Calibri" w:eastAsia="Calibri" w:hAnsi="Calibri" w:cs="Calibri"/>
        </w:rPr>
      </w:pPr>
      <w:r>
        <w:rPr>
          <w:rFonts w:ascii="Calibri" w:eastAsia="Calibri" w:hAnsi="Calibri" w:cs="Calibri"/>
          <w:rtl/>
        </w:rPr>
        <w:t xml:space="preserve">ولم يُنظم المشرع الوضع القانوني للاجئ أثناء نظر طلبه، فهل الوثيقة المنهية تظل منتجة لآثارها لحين صدور قرار من اللجنة؟ </w:t>
      </w:r>
    </w:p>
    <w:p w14:paraId="00000074" w14:textId="77777777" w:rsidR="00C4221C" w:rsidRDefault="00000000">
      <w:pPr>
        <w:bidi/>
        <w:spacing w:before="240"/>
        <w:rPr>
          <w:rFonts w:ascii="Calibri" w:eastAsia="Calibri" w:hAnsi="Calibri" w:cs="Calibri"/>
          <w:b/>
          <w:bCs/>
          <w:color w:val="EE0000"/>
        </w:rPr>
      </w:pPr>
      <w:r>
        <w:rPr>
          <w:rFonts w:ascii="Calibri" w:eastAsia="Calibri" w:hAnsi="Calibri" w:cs="Calibri"/>
          <w:b/>
          <w:bCs/>
          <w:color w:val="EE0000"/>
          <w:rtl/>
        </w:rPr>
        <w:t>المادة (31): وثيقة السفر</w:t>
      </w:r>
    </w:p>
    <w:p w14:paraId="00000075" w14:textId="37E4822B" w:rsidR="00C4221C" w:rsidRDefault="00000000">
      <w:pPr>
        <w:bidi/>
        <w:jc w:val="both"/>
        <w:rPr>
          <w:rFonts w:ascii="Calibri" w:eastAsia="Calibri" w:hAnsi="Calibri" w:cs="Calibri"/>
          <w:color w:val="FF0000"/>
        </w:rPr>
      </w:pPr>
      <w:r>
        <w:rPr>
          <w:rFonts w:ascii="Calibri" w:eastAsia="Calibri" w:hAnsi="Calibri" w:cs="Calibri"/>
          <w:rtl/>
        </w:rPr>
        <w:t xml:space="preserve">تنص على جواز رفض منح الوثيقة لأسباب الأمن القومي والنظام العام، مع غياب أي معايير وغياب إلزام بتسبيب القرار تفصيليا، وغياب آلية مراجعة </w:t>
      </w:r>
      <w:r w:rsidR="00A526C2">
        <w:rPr>
          <w:rFonts w:ascii="Calibri" w:eastAsia="Calibri" w:hAnsi="Calibri" w:cs="Calibri" w:hint="cs"/>
          <w:rtl/>
        </w:rPr>
        <w:t>خاصة.</w:t>
      </w:r>
      <w:r w:rsidR="00A526C2">
        <w:rPr>
          <w:rFonts w:ascii="Calibri" w:eastAsia="Calibri" w:hAnsi="Calibri" w:cs="Calibri" w:hint="cs"/>
          <w:color w:val="FF0000"/>
          <w:rtl/>
        </w:rPr>
        <w:t xml:space="preserve"> م</w:t>
      </w:r>
      <w:r w:rsidR="00A526C2">
        <w:rPr>
          <w:rFonts w:ascii="Calibri" w:eastAsia="Calibri" w:hAnsi="Calibri" w:cs="Calibri" w:hint="eastAsia"/>
          <w:color w:val="FF0000"/>
          <w:rtl/>
        </w:rPr>
        <w:t>ع</w:t>
      </w:r>
      <w:r>
        <w:rPr>
          <w:rFonts w:ascii="Calibri" w:eastAsia="Calibri" w:hAnsi="Calibri" w:cs="Calibri"/>
          <w:color w:val="FF0000"/>
          <w:rtl/>
        </w:rPr>
        <w:t xml:space="preserve"> عدم تحديد مدة الفصل في الطلب، مما قد يؤدي إلى إطالة الاجراءات.</w:t>
      </w:r>
    </w:p>
    <w:p w14:paraId="00000076" w14:textId="61B55C67" w:rsidR="00C4221C" w:rsidRDefault="00000000">
      <w:pPr>
        <w:bidi/>
        <w:spacing w:before="240"/>
        <w:rPr>
          <w:rFonts w:ascii="Calibri" w:eastAsia="Calibri" w:hAnsi="Calibri" w:cs="Calibri"/>
          <w:b/>
          <w:bCs/>
          <w:color w:val="EE0000"/>
        </w:rPr>
      </w:pPr>
      <w:r>
        <w:rPr>
          <w:rFonts w:ascii="Calibri" w:eastAsia="Calibri" w:hAnsi="Calibri" w:cs="Calibri"/>
          <w:b/>
          <w:bCs/>
          <w:color w:val="EE0000"/>
          <w:rtl/>
        </w:rPr>
        <w:t>المادة:(32</w:t>
      </w:r>
      <w:r w:rsidR="00A526C2">
        <w:rPr>
          <w:rFonts w:ascii="Calibri" w:eastAsia="Calibri" w:hAnsi="Calibri" w:cs="Calibri" w:hint="cs"/>
          <w:b/>
          <w:bCs/>
          <w:color w:val="EE0000"/>
          <w:rtl/>
        </w:rPr>
        <w:t>) فقد</w:t>
      </w:r>
      <w:r>
        <w:rPr>
          <w:rFonts w:ascii="Calibri" w:eastAsia="Calibri" w:hAnsi="Calibri" w:cs="Calibri"/>
          <w:b/>
          <w:bCs/>
          <w:color w:val="EE0000"/>
          <w:rtl/>
        </w:rPr>
        <w:t xml:space="preserve"> الوثائق</w:t>
      </w:r>
    </w:p>
    <w:p w14:paraId="00000077" w14:textId="756F1309" w:rsidR="00C4221C" w:rsidRDefault="00000000">
      <w:pPr>
        <w:bidi/>
        <w:rPr>
          <w:rFonts w:ascii="Calibri" w:eastAsia="Calibri" w:hAnsi="Calibri" w:cs="Calibri"/>
        </w:rPr>
      </w:pPr>
      <w:r>
        <w:rPr>
          <w:rFonts w:ascii="Calibri" w:eastAsia="Calibri" w:hAnsi="Calibri" w:cs="Calibri"/>
          <w:rtl/>
        </w:rPr>
        <w:t xml:space="preserve">تنظم المادة الإجراءات الواجب إتباعها في حالة فقد أو تلف بطاقة تسجيل طالب </w:t>
      </w:r>
      <w:r w:rsidR="00A526C2">
        <w:rPr>
          <w:rFonts w:ascii="Calibri" w:eastAsia="Calibri" w:hAnsi="Calibri" w:cs="Calibri" w:hint="cs"/>
          <w:rtl/>
        </w:rPr>
        <w:t>اللجوء إلا</w:t>
      </w:r>
      <w:r>
        <w:rPr>
          <w:rFonts w:ascii="Calibri" w:eastAsia="Calibri" w:hAnsi="Calibri" w:cs="Calibri"/>
          <w:rtl/>
        </w:rPr>
        <w:t xml:space="preserve"> أن المهلة: 3 أيام للإخطار قد تكون قصيرة لبعض الفئات كالمرضى، والأطفال، وضحايا الاتجار بالبشر. </w:t>
      </w:r>
    </w:p>
    <w:p w14:paraId="00000078" w14:textId="7160E3CB" w:rsidR="00C4221C" w:rsidRDefault="00000000">
      <w:pPr>
        <w:bidi/>
        <w:rPr>
          <w:rFonts w:ascii="Calibri" w:eastAsia="Calibri" w:hAnsi="Calibri" w:cs="Calibri"/>
        </w:rPr>
      </w:pPr>
      <w:r>
        <w:rPr>
          <w:rFonts w:ascii="Calibri" w:eastAsia="Calibri" w:hAnsi="Calibri" w:cs="Calibri"/>
          <w:rtl/>
        </w:rPr>
        <w:t xml:space="preserve">هذا </w:t>
      </w:r>
      <w:r w:rsidR="00A526C2">
        <w:rPr>
          <w:rFonts w:ascii="Calibri" w:eastAsia="Calibri" w:hAnsi="Calibri" w:cs="Calibri" w:hint="cs"/>
          <w:rtl/>
        </w:rPr>
        <w:t>بالإضافة</w:t>
      </w:r>
      <w:r>
        <w:rPr>
          <w:rFonts w:ascii="Calibri" w:eastAsia="Calibri" w:hAnsi="Calibri" w:cs="Calibri"/>
          <w:rtl/>
        </w:rPr>
        <w:t xml:space="preserve"> إلى عدم النص أثر حالة التأخر عن الميعاد، وهل هناك حالات استثنائية، وهل هناك رسوم أو إعفاءات في حال استخراج البديل؟</w:t>
      </w:r>
    </w:p>
    <w:p w14:paraId="00000079" w14:textId="37EA775C" w:rsidR="00C4221C" w:rsidRDefault="00A526C2">
      <w:pPr>
        <w:bidi/>
        <w:spacing w:before="240"/>
        <w:rPr>
          <w:rFonts w:ascii="Calibri" w:eastAsia="Calibri" w:hAnsi="Calibri" w:cs="Calibri"/>
          <w:b/>
          <w:bCs/>
          <w:color w:val="EE0000"/>
        </w:rPr>
      </w:pPr>
      <w:r>
        <w:rPr>
          <w:rFonts w:ascii="Calibri" w:eastAsia="Calibri" w:hAnsi="Calibri" w:cs="Calibri" w:hint="cs"/>
          <w:b/>
          <w:bCs/>
          <w:color w:val="EE0000"/>
          <w:rtl/>
        </w:rPr>
        <w:t xml:space="preserve">المادة </w:t>
      </w:r>
      <w:r>
        <w:rPr>
          <w:rFonts w:ascii="Calibri" w:eastAsia="Calibri" w:hAnsi="Calibri" w:cs="Calibri"/>
          <w:b/>
          <w:bCs/>
          <w:color w:val="EE0000"/>
          <w:rtl/>
        </w:rPr>
        <w:t>(</w:t>
      </w:r>
      <w:r w:rsidR="00000000">
        <w:rPr>
          <w:rFonts w:ascii="Calibri" w:eastAsia="Calibri" w:hAnsi="Calibri" w:cs="Calibri"/>
          <w:b/>
          <w:bCs/>
          <w:color w:val="EE0000"/>
          <w:rtl/>
        </w:rPr>
        <w:t>34): إعادة التوطين</w:t>
      </w:r>
    </w:p>
    <w:p w14:paraId="0000007A" w14:textId="77777777" w:rsidR="00C4221C" w:rsidRDefault="00000000">
      <w:pPr>
        <w:bidi/>
        <w:jc w:val="both"/>
        <w:rPr>
          <w:rFonts w:ascii="Calibri" w:eastAsia="Calibri" w:hAnsi="Calibri" w:cs="Calibri"/>
        </w:rPr>
      </w:pPr>
      <w:r>
        <w:rPr>
          <w:rFonts w:ascii="Calibri" w:eastAsia="Calibri" w:hAnsi="Calibri" w:cs="Calibri"/>
          <w:rtl/>
        </w:rPr>
        <w:t>المادة لا تنشئ حقًا للاجئ في إعادة التوطين، بل تجعلها سلطة تقديرية، وهو ما قد يتوافق مع الممارسة الدولية عموما، لكنه يترك القرار للإدارة وللدول المستقبلة.</w:t>
      </w:r>
    </w:p>
    <w:p w14:paraId="0000007B" w14:textId="77777777" w:rsidR="00C4221C" w:rsidRDefault="00000000">
      <w:pPr>
        <w:bidi/>
        <w:jc w:val="both"/>
        <w:rPr>
          <w:rFonts w:ascii="Calibri" w:eastAsia="Calibri" w:hAnsi="Calibri" w:cs="Calibri"/>
        </w:rPr>
      </w:pPr>
      <w:r>
        <w:rPr>
          <w:rFonts w:ascii="Calibri" w:eastAsia="Calibri" w:hAnsi="Calibri" w:cs="Calibri"/>
          <w:rtl/>
        </w:rPr>
        <w:t xml:space="preserve">ولم يحدد المشرع معايير المفاضلة بين اللاجئين، وكذا إجراءات الاعتراض في حال الاستبعاد من إعادة التوطين. </w:t>
      </w:r>
    </w:p>
    <w:p w14:paraId="0000007C" w14:textId="77777777" w:rsidR="00C4221C" w:rsidRDefault="00000000">
      <w:pPr>
        <w:bidi/>
        <w:spacing w:before="240"/>
        <w:rPr>
          <w:rFonts w:ascii="Calibri" w:eastAsia="Calibri" w:hAnsi="Calibri" w:cs="Calibri"/>
          <w:b/>
          <w:bCs/>
          <w:color w:val="EE0000"/>
        </w:rPr>
      </w:pPr>
      <w:r>
        <w:rPr>
          <w:rFonts w:ascii="Calibri" w:eastAsia="Calibri" w:hAnsi="Calibri" w:cs="Calibri"/>
          <w:b/>
          <w:bCs/>
          <w:color w:val="EE0000"/>
          <w:rtl/>
        </w:rPr>
        <w:t>المادة :(35) انتهاء اللجوء</w:t>
      </w:r>
    </w:p>
    <w:p w14:paraId="0000007D" w14:textId="77777777" w:rsidR="00C4221C" w:rsidRDefault="00000000">
      <w:pPr>
        <w:bidi/>
        <w:jc w:val="both"/>
        <w:rPr>
          <w:rFonts w:ascii="Calibri" w:eastAsia="Calibri" w:hAnsi="Calibri" w:cs="Calibri"/>
        </w:rPr>
      </w:pPr>
      <w:r>
        <w:rPr>
          <w:rFonts w:ascii="Calibri" w:eastAsia="Calibri" w:hAnsi="Calibri" w:cs="Calibri"/>
          <w:rtl/>
        </w:rPr>
        <w:t>من أكثر المواد حساسية من حيث:</w:t>
      </w:r>
    </w:p>
    <w:p w14:paraId="0000007E" w14:textId="18E314AC" w:rsidR="00C4221C" w:rsidRDefault="00000000">
      <w:pPr>
        <w:numPr>
          <w:ilvl w:val="0"/>
          <w:numId w:val="4"/>
        </w:numPr>
        <w:pBdr>
          <w:top w:val="nil"/>
          <w:left w:val="nil"/>
          <w:bottom w:val="nil"/>
          <w:right w:val="nil"/>
          <w:between w:val="nil"/>
        </w:pBdr>
        <w:bidi/>
        <w:spacing w:after="0"/>
        <w:jc w:val="both"/>
        <w:rPr>
          <w:rFonts w:ascii="Calibri" w:eastAsia="Calibri" w:hAnsi="Calibri" w:cs="Calibri"/>
          <w:color w:val="000000"/>
        </w:rPr>
      </w:pPr>
      <w:r>
        <w:rPr>
          <w:rFonts w:ascii="Calibri" w:eastAsia="Calibri" w:hAnsi="Calibri" w:cs="Calibri"/>
          <w:b/>
          <w:bCs/>
          <w:color w:val="000000"/>
          <w:rtl/>
        </w:rPr>
        <w:t>مغادرة مصر 6 أشهر:</w:t>
      </w:r>
      <w:r>
        <w:rPr>
          <w:rFonts w:ascii="Calibri" w:eastAsia="Calibri" w:hAnsi="Calibri" w:cs="Calibri"/>
          <w:b/>
          <w:bCs/>
          <w:color w:val="FF0000"/>
        </w:rPr>
        <w:t xml:space="preserve"> </w:t>
      </w:r>
      <w:r>
        <w:rPr>
          <w:rFonts w:ascii="Calibri" w:eastAsia="Calibri" w:hAnsi="Calibri" w:cs="Calibri"/>
          <w:b/>
          <w:bCs/>
          <w:color w:val="FF0000"/>
          <w:rtl/>
        </w:rPr>
        <w:t>منح المشرع اللجنة في تلك الفقرة سُلطة تقديرية واسعة في تحديد "العُذر المقبول"،</w:t>
      </w:r>
      <w:r>
        <w:rPr>
          <w:rFonts w:ascii="Calibri" w:eastAsia="Calibri" w:hAnsi="Calibri" w:cs="Calibri"/>
          <w:b/>
          <w:bCs/>
          <w:rtl/>
        </w:rPr>
        <w:t xml:space="preserve"> </w:t>
      </w:r>
      <w:r w:rsidR="00A526C2">
        <w:rPr>
          <w:rFonts w:ascii="Calibri" w:eastAsia="Calibri" w:hAnsi="Calibri" w:cs="Calibri" w:hint="cs"/>
          <w:b/>
          <w:bCs/>
          <w:rtl/>
        </w:rPr>
        <w:t xml:space="preserve">كما </w:t>
      </w:r>
      <w:r w:rsidR="00A526C2">
        <w:rPr>
          <w:rFonts w:ascii="Calibri" w:eastAsia="Calibri" w:hAnsi="Calibri" w:cs="Calibri" w:hint="cs"/>
          <w:color w:val="000000"/>
          <w:rtl/>
        </w:rPr>
        <w:t>قد</w:t>
      </w:r>
      <w:r>
        <w:rPr>
          <w:rFonts w:ascii="Calibri" w:eastAsia="Calibri" w:hAnsi="Calibri" w:cs="Calibri"/>
          <w:color w:val="000000"/>
          <w:rtl/>
        </w:rPr>
        <w:t xml:space="preserve"> تنشأ ظروف معقدة تستدعي ذلك مثل العلاج، أو الدراسة، أو </w:t>
      </w:r>
      <w:r w:rsidR="00A526C2">
        <w:rPr>
          <w:rFonts w:ascii="Calibri" w:eastAsia="Calibri" w:hAnsi="Calibri" w:cs="Calibri" w:hint="cs"/>
          <w:color w:val="000000"/>
          <w:rtl/>
        </w:rPr>
        <w:t>انتظار إعادة التوطين</w:t>
      </w:r>
      <w:r w:rsidR="00A526C2">
        <w:rPr>
          <w:rFonts w:ascii="Calibri" w:eastAsia="Calibri" w:hAnsi="Calibri" w:cs="Calibri" w:hint="eastAsia"/>
          <w:color w:val="000000"/>
          <w:rtl/>
        </w:rPr>
        <w:t>،</w:t>
      </w:r>
      <w:r w:rsidR="00A526C2">
        <w:rPr>
          <w:rFonts w:ascii="Calibri" w:eastAsia="Calibri" w:hAnsi="Calibri" w:cs="Calibri" w:hint="cs"/>
          <w:color w:val="000000"/>
          <w:rtl/>
        </w:rPr>
        <w:t xml:space="preserve"> </w:t>
      </w:r>
      <w:r>
        <w:rPr>
          <w:rFonts w:ascii="Calibri" w:eastAsia="Calibri" w:hAnsi="Calibri" w:cs="Calibri"/>
          <w:color w:val="000000"/>
          <w:rtl/>
        </w:rPr>
        <w:t>أو ظروف أسرية أخري، ورغم وجود أعذار مقبولة فإن تقديرها متروك للجنة.</w:t>
      </w:r>
    </w:p>
    <w:p w14:paraId="0000007F" w14:textId="77777777" w:rsidR="00C4221C" w:rsidRDefault="00000000">
      <w:pPr>
        <w:numPr>
          <w:ilvl w:val="0"/>
          <w:numId w:val="4"/>
        </w:numPr>
        <w:pBdr>
          <w:top w:val="nil"/>
          <w:left w:val="nil"/>
          <w:bottom w:val="nil"/>
          <w:right w:val="nil"/>
          <w:between w:val="nil"/>
        </w:pBdr>
        <w:bidi/>
        <w:spacing w:after="0"/>
        <w:jc w:val="both"/>
        <w:rPr>
          <w:rFonts w:ascii="Calibri" w:eastAsia="Calibri" w:hAnsi="Calibri" w:cs="Calibri"/>
          <w:color w:val="000000"/>
        </w:rPr>
      </w:pPr>
      <w:r>
        <w:rPr>
          <w:rFonts w:ascii="Calibri" w:eastAsia="Calibri" w:hAnsi="Calibri" w:cs="Calibri"/>
          <w:b/>
          <w:bCs/>
          <w:color w:val="000000"/>
          <w:rtl/>
        </w:rPr>
        <w:t>زوال أسباب اللجوء:</w:t>
      </w:r>
      <w:r>
        <w:rPr>
          <w:rFonts w:ascii="Calibri" w:eastAsia="Calibri" w:hAnsi="Calibri" w:cs="Calibri"/>
          <w:color w:val="000000"/>
          <w:rtl/>
        </w:rPr>
        <w:t xml:space="preserve"> وهو معيار واسع، ويتطلب تقييما دقيقا جدا للأوضاع السياسية والأمنية في بلد المنشأ.</w:t>
      </w:r>
    </w:p>
    <w:p w14:paraId="00000080" w14:textId="77777777" w:rsidR="00C4221C" w:rsidRDefault="00000000">
      <w:pPr>
        <w:numPr>
          <w:ilvl w:val="0"/>
          <w:numId w:val="4"/>
        </w:numPr>
        <w:pBdr>
          <w:top w:val="nil"/>
          <w:left w:val="nil"/>
          <w:bottom w:val="nil"/>
          <w:right w:val="nil"/>
          <w:between w:val="nil"/>
        </w:pBdr>
        <w:bidi/>
        <w:jc w:val="both"/>
        <w:rPr>
          <w:rFonts w:ascii="Calibri" w:eastAsia="Calibri" w:hAnsi="Calibri" w:cs="Calibri"/>
          <w:color w:val="000000"/>
        </w:rPr>
      </w:pPr>
      <w:r>
        <w:rPr>
          <w:rFonts w:ascii="Calibri" w:eastAsia="Calibri" w:hAnsi="Calibri" w:cs="Calibri"/>
          <w:b/>
          <w:bCs/>
          <w:color w:val="000000"/>
          <w:rtl/>
        </w:rPr>
        <w:t>اكتساب جنسية أخرى:</w:t>
      </w:r>
      <w:r>
        <w:rPr>
          <w:rFonts w:ascii="Calibri" w:eastAsia="Calibri" w:hAnsi="Calibri" w:cs="Calibri"/>
          <w:color w:val="000000"/>
          <w:rtl/>
        </w:rPr>
        <w:t xml:space="preserve"> النص يفترض التمتع بحماية تلك الدولة، لكن بعض الحالات قد تكون أكثر تعقيدا عمليا.</w:t>
      </w:r>
    </w:p>
    <w:p w14:paraId="00000081" w14:textId="77777777" w:rsidR="00C4221C" w:rsidRDefault="00000000">
      <w:pPr>
        <w:pBdr>
          <w:top w:val="nil"/>
          <w:left w:val="nil"/>
          <w:bottom w:val="nil"/>
          <w:right w:val="nil"/>
          <w:between w:val="nil"/>
        </w:pBdr>
        <w:bidi/>
        <w:jc w:val="both"/>
        <w:rPr>
          <w:rFonts w:ascii="Calibri" w:eastAsia="Calibri" w:hAnsi="Calibri" w:cs="Calibri"/>
          <w:color w:val="FF0000"/>
          <w:rtl/>
        </w:rPr>
      </w:pPr>
      <w:r>
        <w:rPr>
          <w:rFonts w:ascii="Calibri" w:eastAsia="Calibri" w:hAnsi="Calibri" w:cs="Calibri"/>
          <w:color w:val="FF0000"/>
          <w:rtl/>
        </w:rPr>
        <w:t>كما لم تنص المادة على إجراء مقابلة شخصية مع اللاجئ، وتمكينه من إبداء دفاعه، قبل صدور قرار من اللجنة.</w:t>
      </w:r>
    </w:p>
    <w:p w14:paraId="4A6F9532" w14:textId="77777777" w:rsidR="00A526C2" w:rsidRDefault="00A526C2" w:rsidP="00A526C2">
      <w:pPr>
        <w:pBdr>
          <w:top w:val="nil"/>
          <w:left w:val="nil"/>
          <w:bottom w:val="nil"/>
          <w:right w:val="nil"/>
          <w:between w:val="nil"/>
        </w:pBdr>
        <w:bidi/>
        <w:jc w:val="both"/>
        <w:rPr>
          <w:rFonts w:ascii="Calibri" w:eastAsia="Calibri" w:hAnsi="Calibri" w:cs="Calibri"/>
          <w:color w:val="FF0000"/>
        </w:rPr>
      </w:pPr>
    </w:p>
    <w:p w14:paraId="00000082" w14:textId="77777777" w:rsidR="00C4221C" w:rsidRDefault="00000000">
      <w:pPr>
        <w:bidi/>
        <w:spacing w:before="240"/>
        <w:rPr>
          <w:rFonts w:ascii="Calibri" w:eastAsia="Calibri" w:hAnsi="Calibri" w:cs="Calibri"/>
          <w:b/>
          <w:bCs/>
          <w:color w:val="EE0000"/>
        </w:rPr>
      </w:pPr>
      <w:r>
        <w:rPr>
          <w:rFonts w:ascii="Calibri" w:eastAsia="Calibri" w:hAnsi="Calibri" w:cs="Calibri"/>
          <w:b/>
          <w:bCs/>
          <w:color w:val="EE0000"/>
          <w:rtl/>
        </w:rPr>
        <w:lastRenderedPageBreak/>
        <w:t>الخلاصة العامة</w:t>
      </w:r>
    </w:p>
    <w:p w14:paraId="00000083" w14:textId="77777777" w:rsidR="00C4221C" w:rsidRDefault="00000000">
      <w:pPr>
        <w:bidi/>
        <w:rPr>
          <w:rFonts w:ascii="Calibri" w:eastAsia="Calibri" w:hAnsi="Calibri" w:cs="Calibri"/>
        </w:rPr>
      </w:pPr>
      <w:r>
        <w:rPr>
          <w:rFonts w:ascii="Calibri" w:eastAsia="Calibri" w:hAnsi="Calibri" w:cs="Calibri"/>
          <w:rtl/>
        </w:rPr>
        <w:t>إذا أردنا ترتيب أكثر المواد إثارة للمخاوف الحقوقية في اللائحة، فستكون تقريبا:</w:t>
      </w:r>
    </w:p>
    <w:p w14:paraId="00000084" w14:textId="77777777" w:rsidR="00C4221C" w:rsidRDefault="00000000">
      <w:pPr>
        <w:numPr>
          <w:ilvl w:val="0"/>
          <w:numId w:val="2"/>
        </w:numPr>
        <w:pBdr>
          <w:top w:val="nil"/>
          <w:left w:val="nil"/>
          <w:bottom w:val="nil"/>
          <w:right w:val="nil"/>
          <w:between w:val="nil"/>
        </w:pBdr>
        <w:bidi/>
        <w:spacing w:after="0"/>
        <w:rPr>
          <w:rFonts w:ascii="Calibri" w:eastAsia="Calibri" w:hAnsi="Calibri" w:cs="Calibri"/>
          <w:color w:val="000000"/>
        </w:rPr>
      </w:pPr>
      <w:r>
        <w:rPr>
          <w:rFonts w:ascii="Calibri" w:eastAsia="Calibri" w:hAnsi="Calibri" w:cs="Calibri"/>
          <w:color w:val="000000"/>
          <w:rtl/>
        </w:rPr>
        <w:t>المادة 17 (رفض الطلب)</w:t>
      </w:r>
    </w:p>
    <w:p w14:paraId="00000085" w14:textId="77777777" w:rsidR="00C4221C" w:rsidRDefault="00000000">
      <w:pPr>
        <w:numPr>
          <w:ilvl w:val="0"/>
          <w:numId w:val="2"/>
        </w:numPr>
        <w:pBdr>
          <w:top w:val="nil"/>
          <w:left w:val="nil"/>
          <w:bottom w:val="nil"/>
          <w:right w:val="nil"/>
          <w:between w:val="nil"/>
        </w:pBdr>
        <w:bidi/>
        <w:spacing w:after="0"/>
        <w:rPr>
          <w:rFonts w:ascii="Calibri" w:eastAsia="Calibri" w:hAnsi="Calibri" w:cs="Calibri"/>
          <w:color w:val="000000"/>
        </w:rPr>
      </w:pPr>
      <w:r>
        <w:rPr>
          <w:rFonts w:ascii="Calibri" w:eastAsia="Calibri" w:hAnsi="Calibri" w:cs="Calibri"/>
          <w:color w:val="000000"/>
          <w:rtl/>
        </w:rPr>
        <w:t>المادة 18 (الإبعاد)</w:t>
      </w:r>
    </w:p>
    <w:p w14:paraId="00000086" w14:textId="77777777" w:rsidR="00C4221C" w:rsidRDefault="00000000">
      <w:pPr>
        <w:numPr>
          <w:ilvl w:val="0"/>
          <w:numId w:val="2"/>
        </w:numPr>
        <w:pBdr>
          <w:top w:val="nil"/>
          <w:left w:val="nil"/>
          <w:bottom w:val="nil"/>
          <w:right w:val="nil"/>
          <w:between w:val="nil"/>
        </w:pBdr>
        <w:bidi/>
        <w:spacing w:after="0"/>
        <w:rPr>
          <w:rFonts w:ascii="Calibri" w:eastAsia="Calibri" w:hAnsi="Calibri" w:cs="Calibri"/>
          <w:color w:val="000000"/>
        </w:rPr>
      </w:pPr>
      <w:r>
        <w:rPr>
          <w:rFonts w:ascii="Calibri" w:eastAsia="Calibri" w:hAnsi="Calibri" w:cs="Calibri"/>
          <w:color w:val="000000"/>
          <w:rtl/>
        </w:rPr>
        <w:t>المادة 26 (التدابير الاستثنائية)</w:t>
      </w:r>
    </w:p>
    <w:p w14:paraId="00000087" w14:textId="77777777" w:rsidR="00C4221C" w:rsidRDefault="00000000">
      <w:pPr>
        <w:numPr>
          <w:ilvl w:val="0"/>
          <w:numId w:val="2"/>
        </w:numPr>
        <w:pBdr>
          <w:top w:val="nil"/>
          <w:left w:val="nil"/>
          <w:bottom w:val="nil"/>
          <w:right w:val="nil"/>
          <w:between w:val="nil"/>
        </w:pBdr>
        <w:bidi/>
        <w:spacing w:after="0"/>
        <w:rPr>
          <w:rFonts w:ascii="Calibri" w:eastAsia="Calibri" w:hAnsi="Calibri" w:cs="Calibri"/>
          <w:color w:val="000000"/>
        </w:rPr>
      </w:pPr>
      <w:r>
        <w:rPr>
          <w:rFonts w:ascii="Calibri" w:eastAsia="Calibri" w:hAnsi="Calibri" w:cs="Calibri"/>
          <w:color w:val="000000"/>
          <w:rtl/>
        </w:rPr>
        <w:t>المادة 15 (التدابير المؤقتة)</w:t>
      </w:r>
    </w:p>
    <w:p w14:paraId="00000088" w14:textId="77777777" w:rsidR="00C4221C" w:rsidRDefault="00000000">
      <w:pPr>
        <w:numPr>
          <w:ilvl w:val="0"/>
          <w:numId w:val="2"/>
        </w:numPr>
        <w:pBdr>
          <w:top w:val="nil"/>
          <w:left w:val="nil"/>
          <w:bottom w:val="nil"/>
          <w:right w:val="nil"/>
          <w:between w:val="nil"/>
        </w:pBdr>
        <w:bidi/>
        <w:spacing w:after="0"/>
        <w:rPr>
          <w:rFonts w:ascii="Calibri" w:eastAsia="Calibri" w:hAnsi="Calibri" w:cs="Calibri"/>
          <w:color w:val="000000"/>
        </w:rPr>
      </w:pPr>
      <w:r>
        <w:rPr>
          <w:rFonts w:ascii="Calibri" w:eastAsia="Calibri" w:hAnsi="Calibri" w:cs="Calibri"/>
          <w:color w:val="000000"/>
          <w:rtl/>
        </w:rPr>
        <w:t>المادة 13 (جمع المعلومات والتحقق)</w:t>
      </w:r>
    </w:p>
    <w:p w14:paraId="00000089" w14:textId="77777777" w:rsidR="00C4221C" w:rsidRDefault="00000000">
      <w:pPr>
        <w:numPr>
          <w:ilvl w:val="0"/>
          <w:numId w:val="2"/>
        </w:numPr>
        <w:pBdr>
          <w:top w:val="nil"/>
          <w:left w:val="nil"/>
          <w:bottom w:val="nil"/>
          <w:right w:val="nil"/>
          <w:between w:val="nil"/>
        </w:pBdr>
        <w:bidi/>
        <w:spacing w:after="0"/>
        <w:rPr>
          <w:rFonts w:ascii="Calibri" w:eastAsia="Calibri" w:hAnsi="Calibri" w:cs="Calibri"/>
          <w:color w:val="000000"/>
        </w:rPr>
      </w:pPr>
      <w:r>
        <w:rPr>
          <w:rFonts w:ascii="Calibri" w:eastAsia="Calibri" w:hAnsi="Calibri" w:cs="Calibri"/>
          <w:color w:val="000000"/>
          <w:rtl/>
        </w:rPr>
        <w:t>المادة 25 (الإعلانات)</w:t>
      </w:r>
    </w:p>
    <w:p w14:paraId="0000008A" w14:textId="77777777" w:rsidR="00C4221C" w:rsidRDefault="00000000">
      <w:pPr>
        <w:numPr>
          <w:ilvl w:val="0"/>
          <w:numId w:val="2"/>
        </w:numPr>
        <w:pBdr>
          <w:top w:val="nil"/>
          <w:left w:val="nil"/>
          <w:bottom w:val="nil"/>
          <w:right w:val="nil"/>
          <w:between w:val="nil"/>
        </w:pBdr>
        <w:bidi/>
        <w:spacing w:after="0"/>
        <w:rPr>
          <w:rFonts w:ascii="Calibri" w:eastAsia="Calibri" w:hAnsi="Calibri" w:cs="Calibri"/>
          <w:color w:val="000000"/>
        </w:rPr>
      </w:pPr>
      <w:r>
        <w:rPr>
          <w:rFonts w:ascii="Calibri" w:eastAsia="Calibri" w:hAnsi="Calibri" w:cs="Calibri"/>
          <w:color w:val="000000"/>
          <w:rtl/>
        </w:rPr>
        <w:t>المادة 35 (انتهاء اللجوء)</w:t>
      </w:r>
    </w:p>
    <w:p w14:paraId="0000008B" w14:textId="77777777" w:rsidR="00C4221C" w:rsidRDefault="00000000">
      <w:pPr>
        <w:numPr>
          <w:ilvl w:val="0"/>
          <w:numId w:val="2"/>
        </w:numPr>
        <w:pBdr>
          <w:top w:val="nil"/>
          <w:left w:val="nil"/>
          <w:bottom w:val="nil"/>
          <w:right w:val="nil"/>
          <w:between w:val="nil"/>
        </w:pBdr>
        <w:bidi/>
        <w:spacing w:after="0"/>
        <w:rPr>
          <w:rFonts w:ascii="Calibri" w:eastAsia="Calibri" w:hAnsi="Calibri" w:cs="Calibri"/>
          <w:color w:val="000000"/>
        </w:rPr>
      </w:pPr>
      <w:r>
        <w:rPr>
          <w:rFonts w:ascii="Calibri" w:eastAsia="Calibri" w:hAnsi="Calibri" w:cs="Calibri"/>
          <w:color w:val="000000"/>
          <w:rtl/>
        </w:rPr>
        <w:t>المادة 19 (قصر مدة التظلم)</w:t>
      </w:r>
    </w:p>
    <w:p w14:paraId="0000008C" w14:textId="77777777" w:rsidR="00C4221C" w:rsidRDefault="00000000">
      <w:pPr>
        <w:numPr>
          <w:ilvl w:val="0"/>
          <w:numId w:val="2"/>
        </w:numPr>
        <w:pBdr>
          <w:top w:val="nil"/>
          <w:left w:val="nil"/>
          <w:bottom w:val="nil"/>
          <w:right w:val="nil"/>
          <w:between w:val="nil"/>
        </w:pBdr>
        <w:bidi/>
        <w:spacing w:after="0"/>
        <w:rPr>
          <w:rFonts w:ascii="Calibri" w:eastAsia="Calibri" w:hAnsi="Calibri" w:cs="Calibri"/>
          <w:color w:val="000000"/>
        </w:rPr>
      </w:pPr>
      <w:r>
        <w:rPr>
          <w:rFonts w:ascii="Calibri" w:eastAsia="Calibri" w:hAnsi="Calibri" w:cs="Calibri"/>
          <w:color w:val="000000"/>
          <w:rtl/>
        </w:rPr>
        <w:t>المادة 31 (وثيقة السفر)</w:t>
      </w:r>
    </w:p>
    <w:p w14:paraId="0000008D" w14:textId="77777777" w:rsidR="00C4221C" w:rsidRDefault="00000000">
      <w:pPr>
        <w:numPr>
          <w:ilvl w:val="0"/>
          <w:numId w:val="2"/>
        </w:numPr>
        <w:pBdr>
          <w:top w:val="nil"/>
          <w:left w:val="nil"/>
          <w:bottom w:val="nil"/>
          <w:right w:val="nil"/>
          <w:between w:val="nil"/>
        </w:pBdr>
        <w:bidi/>
        <w:rPr>
          <w:rFonts w:ascii="Calibri" w:eastAsia="Calibri" w:hAnsi="Calibri" w:cs="Calibri"/>
          <w:color w:val="000000"/>
        </w:rPr>
      </w:pPr>
      <w:r>
        <w:rPr>
          <w:rFonts w:ascii="Calibri" w:eastAsia="Calibri" w:hAnsi="Calibri" w:cs="Calibri"/>
          <w:color w:val="000000"/>
          <w:rtl/>
        </w:rPr>
        <w:t>المواد 6 و7 و3 المتعلقة بالبيانات البيومترية والبيانات الشخصية</w:t>
      </w:r>
    </w:p>
    <w:p w14:paraId="0000008E" w14:textId="77777777" w:rsidR="00C4221C" w:rsidRDefault="00000000">
      <w:pPr>
        <w:bidi/>
        <w:rPr>
          <w:rFonts w:ascii="Calibri" w:eastAsia="Calibri" w:hAnsi="Calibri" w:cs="Calibri"/>
        </w:rPr>
      </w:pPr>
      <w:r>
        <w:rPr>
          <w:rFonts w:ascii="Calibri" w:eastAsia="Calibri" w:hAnsi="Calibri" w:cs="Calibri"/>
          <w:rtl/>
        </w:rPr>
        <w:t>أما من زاوية القانون الدولي للاجئين، فإن أكثر القضايا التي ستحدد مدى توافق التطبيق العملي مع المعايير الدولية ليست نصوص الرعاية أو التسجيل، بل أربعة أمور رئيسية:</w:t>
      </w:r>
    </w:p>
    <w:p w14:paraId="0000008F" w14:textId="77777777" w:rsidR="00C4221C" w:rsidRDefault="00000000">
      <w:pPr>
        <w:numPr>
          <w:ilvl w:val="0"/>
          <w:numId w:val="1"/>
        </w:numPr>
        <w:pBdr>
          <w:top w:val="nil"/>
          <w:left w:val="nil"/>
          <w:bottom w:val="nil"/>
          <w:right w:val="nil"/>
          <w:between w:val="nil"/>
        </w:pBdr>
        <w:bidi/>
        <w:spacing w:after="0"/>
        <w:rPr>
          <w:rFonts w:ascii="Calibri" w:eastAsia="Calibri" w:hAnsi="Calibri" w:cs="Calibri"/>
          <w:color w:val="000000"/>
        </w:rPr>
      </w:pPr>
      <w:r>
        <w:rPr>
          <w:rFonts w:ascii="Calibri" w:eastAsia="Calibri" w:hAnsi="Calibri" w:cs="Calibri"/>
          <w:color w:val="000000"/>
          <w:rtl/>
        </w:rPr>
        <w:t>مدى احترام مبدأ عدم الإعادة القسرية</w:t>
      </w:r>
    </w:p>
    <w:p w14:paraId="00000090" w14:textId="77777777" w:rsidR="00C4221C" w:rsidRDefault="00000000">
      <w:pPr>
        <w:numPr>
          <w:ilvl w:val="0"/>
          <w:numId w:val="1"/>
        </w:numPr>
        <w:pBdr>
          <w:top w:val="nil"/>
          <w:left w:val="nil"/>
          <w:bottom w:val="nil"/>
          <w:right w:val="nil"/>
          <w:between w:val="nil"/>
        </w:pBdr>
        <w:bidi/>
        <w:spacing w:after="0"/>
        <w:rPr>
          <w:rFonts w:ascii="Calibri" w:eastAsia="Calibri" w:hAnsi="Calibri" w:cs="Calibri"/>
          <w:color w:val="000000"/>
        </w:rPr>
      </w:pPr>
      <w:r>
        <w:rPr>
          <w:rFonts w:ascii="Calibri" w:eastAsia="Calibri" w:hAnsi="Calibri" w:cs="Calibri"/>
          <w:color w:val="000000"/>
          <w:rtl/>
        </w:rPr>
        <w:t>مدى استقلالية تقييم طلبات اللجوء</w:t>
      </w:r>
    </w:p>
    <w:p w14:paraId="00000091" w14:textId="77777777" w:rsidR="00C4221C" w:rsidRDefault="00000000">
      <w:pPr>
        <w:numPr>
          <w:ilvl w:val="0"/>
          <w:numId w:val="1"/>
        </w:numPr>
        <w:pBdr>
          <w:top w:val="nil"/>
          <w:left w:val="nil"/>
          <w:bottom w:val="nil"/>
          <w:right w:val="nil"/>
          <w:between w:val="nil"/>
        </w:pBdr>
        <w:bidi/>
        <w:spacing w:after="0"/>
        <w:rPr>
          <w:rFonts w:ascii="Calibri" w:eastAsia="Calibri" w:hAnsi="Calibri" w:cs="Calibri"/>
          <w:color w:val="000000"/>
        </w:rPr>
      </w:pPr>
      <w:r>
        <w:rPr>
          <w:rFonts w:ascii="Calibri" w:eastAsia="Calibri" w:hAnsi="Calibri" w:cs="Calibri"/>
          <w:color w:val="000000"/>
          <w:rtl/>
        </w:rPr>
        <w:t>مدى تقييد استخدام التدابير الأمنية والاستثنائية</w:t>
      </w:r>
    </w:p>
    <w:p w14:paraId="00000092" w14:textId="77777777" w:rsidR="00C4221C" w:rsidRDefault="00000000">
      <w:pPr>
        <w:numPr>
          <w:ilvl w:val="0"/>
          <w:numId w:val="1"/>
        </w:numPr>
        <w:pBdr>
          <w:top w:val="nil"/>
          <w:left w:val="nil"/>
          <w:bottom w:val="nil"/>
          <w:right w:val="nil"/>
          <w:between w:val="nil"/>
        </w:pBdr>
        <w:bidi/>
        <w:rPr>
          <w:rFonts w:ascii="Calibri" w:eastAsia="Calibri" w:hAnsi="Calibri" w:cs="Calibri"/>
          <w:color w:val="000000"/>
          <w:sz w:val="28"/>
          <w:szCs w:val="28"/>
        </w:rPr>
      </w:pPr>
      <w:r>
        <w:rPr>
          <w:rFonts w:ascii="Calibri" w:eastAsia="Calibri" w:hAnsi="Calibri" w:cs="Calibri"/>
          <w:color w:val="000000"/>
          <w:rtl/>
        </w:rPr>
        <w:t>مدى فعالية التظلم والطعن القضائي كوسيلة حقيقية لتصحيح الأخطاء الإدارية</w:t>
      </w:r>
    </w:p>
    <w:p w14:paraId="71F605DD" w14:textId="77777777" w:rsidR="00A526C2" w:rsidRDefault="00A526C2" w:rsidP="00A526C2">
      <w:pPr>
        <w:pBdr>
          <w:top w:val="nil"/>
          <w:left w:val="nil"/>
          <w:bottom w:val="nil"/>
          <w:right w:val="nil"/>
          <w:between w:val="nil"/>
        </w:pBdr>
        <w:bidi/>
        <w:ind w:left="720"/>
        <w:rPr>
          <w:rFonts w:ascii="Calibri" w:eastAsia="Calibri" w:hAnsi="Calibri" w:cs="Calibri"/>
          <w:color w:val="000000"/>
          <w:sz w:val="28"/>
          <w:szCs w:val="28"/>
          <w:rtl/>
        </w:rPr>
      </w:pPr>
    </w:p>
    <w:p w14:paraId="646727AC" w14:textId="77777777" w:rsidR="00A526C2" w:rsidRDefault="00A526C2" w:rsidP="00A526C2">
      <w:pPr>
        <w:pBdr>
          <w:top w:val="nil"/>
          <w:left w:val="nil"/>
          <w:bottom w:val="nil"/>
          <w:right w:val="nil"/>
          <w:between w:val="nil"/>
        </w:pBdr>
        <w:bidi/>
        <w:ind w:left="720"/>
        <w:rPr>
          <w:rFonts w:ascii="Calibri" w:eastAsia="Calibri" w:hAnsi="Calibri" w:cs="Calibri"/>
          <w:color w:val="000000"/>
          <w:sz w:val="28"/>
          <w:szCs w:val="28"/>
          <w:rtl/>
        </w:rPr>
      </w:pPr>
    </w:p>
    <w:p w14:paraId="4CE2FBB5" w14:textId="77777777" w:rsidR="00A526C2" w:rsidRDefault="00A526C2" w:rsidP="00A526C2">
      <w:pPr>
        <w:pBdr>
          <w:top w:val="nil"/>
          <w:left w:val="nil"/>
          <w:bottom w:val="nil"/>
          <w:right w:val="nil"/>
          <w:between w:val="nil"/>
        </w:pBdr>
        <w:bidi/>
        <w:ind w:left="720"/>
        <w:rPr>
          <w:rFonts w:ascii="Calibri" w:eastAsia="Calibri" w:hAnsi="Calibri" w:cs="Calibri"/>
          <w:color w:val="000000"/>
          <w:sz w:val="28"/>
          <w:szCs w:val="28"/>
          <w:rtl/>
        </w:rPr>
      </w:pPr>
    </w:p>
    <w:p w14:paraId="1F0DF66B" w14:textId="77777777" w:rsidR="00A526C2" w:rsidRDefault="00A526C2" w:rsidP="00A526C2">
      <w:pPr>
        <w:pBdr>
          <w:top w:val="nil"/>
          <w:left w:val="nil"/>
          <w:bottom w:val="nil"/>
          <w:right w:val="nil"/>
          <w:between w:val="nil"/>
        </w:pBdr>
        <w:bidi/>
        <w:ind w:left="720"/>
        <w:rPr>
          <w:rFonts w:ascii="Calibri" w:eastAsia="Calibri" w:hAnsi="Calibri" w:cs="Calibri"/>
          <w:color w:val="000000"/>
          <w:sz w:val="28"/>
          <w:szCs w:val="28"/>
          <w:rtl/>
        </w:rPr>
      </w:pPr>
    </w:p>
    <w:p w14:paraId="74AD26FD" w14:textId="77777777" w:rsidR="00A526C2" w:rsidRDefault="00A526C2" w:rsidP="00A526C2">
      <w:pPr>
        <w:pBdr>
          <w:top w:val="nil"/>
          <w:left w:val="nil"/>
          <w:bottom w:val="nil"/>
          <w:right w:val="nil"/>
          <w:between w:val="nil"/>
        </w:pBdr>
        <w:bidi/>
        <w:ind w:left="720"/>
        <w:rPr>
          <w:rFonts w:ascii="Calibri" w:eastAsia="Calibri" w:hAnsi="Calibri" w:cs="Calibri"/>
          <w:color w:val="000000"/>
          <w:sz w:val="28"/>
          <w:szCs w:val="28"/>
          <w:rtl/>
        </w:rPr>
      </w:pPr>
    </w:p>
    <w:p w14:paraId="57723517" w14:textId="77777777" w:rsidR="00A526C2" w:rsidRDefault="00A526C2" w:rsidP="00A526C2">
      <w:pPr>
        <w:pBdr>
          <w:top w:val="nil"/>
          <w:left w:val="nil"/>
          <w:bottom w:val="nil"/>
          <w:right w:val="nil"/>
          <w:between w:val="nil"/>
        </w:pBdr>
        <w:bidi/>
        <w:ind w:left="720"/>
        <w:rPr>
          <w:rFonts w:ascii="Calibri" w:eastAsia="Calibri" w:hAnsi="Calibri" w:cs="Calibri"/>
          <w:color w:val="000000"/>
          <w:sz w:val="28"/>
          <w:szCs w:val="28"/>
          <w:rtl/>
        </w:rPr>
      </w:pPr>
    </w:p>
    <w:p w14:paraId="614DDABD" w14:textId="77777777" w:rsidR="00A526C2" w:rsidRDefault="00A526C2" w:rsidP="00A526C2">
      <w:pPr>
        <w:pBdr>
          <w:top w:val="nil"/>
          <w:left w:val="nil"/>
          <w:bottom w:val="nil"/>
          <w:right w:val="nil"/>
          <w:between w:val="nil"/>
        </w:pBdr>
        <w:bidi/>
        <w:ind w:left="720"/>
        <w:rPr>
          <w:rFonts w:ascii="Calibri" w:eastAsia="Calibri" w:hAnsi="Calibri" w:cs="Calibri"/>
          <w:color w:val="000000"/>
          <w:sz w:val="28"/>
          <w:szCs w:val="28"/>
          <w:rtl/>
        </w:rPr>
      </w:pPr>
    </w:p>
    <w:p w14:paraId="1D4A33AE" w14:textId="77777777" w:rsidR="00A526C2" w:rsidRDefault="00A526C2" w:rsidP="00A526C2">
      <w:pPr>
        <w:pBdr>
          <w:top w:val="nil"/>
          <w:left w:val="nil"/>
          <w:bottom w:val="nil"/>
          <w:right w:val="nil"/>
          <w:between w:val="nil"/>
        </w:pBdr>
        <w:bidi/>
        <w:ind w:left="720"/>
        <w:rPr>
          <w:rFonts w:ascii="Calibri" w:eastAsia="Calibri" w:hAnsi="Calibri" w:cs="Calibri"/>
          <w:color w:val="000000"/>
          <w:sz w:val="28"/>
          <w:szCs w:val="28"/>
          <w:rtl/>
        </w:rPr>
      </w:pPr>
    </w:p>
    <w:p w14:paraId="43371184" w14:textId="77777777" w:rsidR="00A526C2" w:rsidRDefault="00A526C2" w:rsidP="00A526C2">
      <w:pPr>
        <w:pBdr>
          <w:top w:val="nil"/>
          <w:left w:val="nil"/>
          <w:bottom w:val="nil"/>
          <w:right w:val="nil"/>
          <w:between w:val="nil"/>
        </w:pBdr>
        <w:bidi/>
        <w:ind w:left="720"/>
        <w:rPr>
          <w:rFonts w:ascii="Calibri" w:eastAsia="Calibri" w:hAnsi="Calibri" w:cs="Calibri"/>
          <w:color w:val="000000"/>
          <w:sz w:val="28"/>
          <w:szCs w:val="28"/>
          <w:rtl/>
        </w:rPr>
      </w:pPr>
    </w:p>
    <w:p w14:paraId="6C757F3E" w14:textId="77777777" w:rsidR="00A526C2" w:rsidRDefault="00A526C2" w:rsidP="00A526C2">
      <w:pPr>
        <w:pBdr>
          <w:top w:val="nil"/>
          <w:left w:val="nil"/>
          <w:bottom w:val="nil"/>
          <w:right w:val="nil"/>
          <w:between w:val="nil"/>
        </w:pBdr>
        <w:bidi/>
        <w:ind w:left="720"/>
        <w:rPr>
          <w:rFonts w:ascii="Calibri" w:eastAsia="Calibri" w:hAnsi="Calibri" w:cs="Calibri"/>
          <w:color w:val="000000"/>
          <w:sz w:val="28"/>
          <w:szCs w:val="28"/>
          <w:rtl/>
        </w:rPr>
      </w:pPr>
    </w:p>
    <w:p w14:paraId="64D4BD45" w14:textId="77777777" w:rsidR="00A526C2" w:rsidRDefault="00A526C2" w:rsidP="00A526C2">
      <w:pPr>
        <w:pBdr>
          <w:top w:val="nil"/>
          <w:left w:val="nil"/>
          <w:bottom w:val="nil"/>
          <w:right w:val="nil"/>
          <w:between w:val="nil"/>
        </w:pBdr>
        <w:bidi/>
        <w:ind w:left="720"/>
        <w:rPr>
          <w:rFonts w:ascii="Calibri" w:eastAsia="Calibri" w:hAnsi="Calibri" w:cs="Calibri"/>
          <w:color w:val="000000"/>
          <w:sz w:val="28"/>
          <w:szCs w:val="28"/>
        </w:rPr>
      </w:pPr>
    </w:p>
    <w:p w14:paraId="00000093" w14:textId="77777777" w:rsidR="00C4221C" w:rsidRDefault="00000000">
      <w:pPr>
        <w:shd w:val="clear" w:color="auto" w:fill="D9D9D9"/>
        <w:bidi/>
        <w:spacing w:line="276" w:lineRule="auto"/>
        <w:jc w:val="center"/>
        <w:rPr>
          <w:rFonts w:ascii="Calibri" w:eastAsia="Calibri" w:hAnsi="Calibri" w:cs="Calibri"/>
          <w:b/>
          <w:bCs/>
          <w:sz w:val="28"/>
          <w:szCs w:val="28"/>
        </w:rPr>
      </w:pPr>
      <w:r>
        <w:rPr>
          <w:rFonts w:ascii="Calibri" w:eastAsia="Calibri" w:hAnsi="Calibri" w:cs="Calibri"/>
          <w:b/>
          <w:bCs/>
          <w:sz w:val="28"/>
          <w:szCs w:val="28"/>
          <w:rtl/>
        </w:rPr>
        <w:lastRenderedPageBreak/>
        <w:t>ثالثــــا: هل تملك الحكومة المصرية القدرات اللازمة لتنفيذ بنود اللائحة؟</w:t>
      </w:r>
    </w:p>
    <w:p w14:paraId="00000094" w14:textId="7A7F50A1" w:rsidR="00C4221C" w:rsidRDefault="00000000">
      <w:pPr>
        <w:bidi/>
        <w:spacing w:line="276" w:lineRule="auto"/>
        <w:jc w:val="both"/>
        <w:rPr>
          <w:rFonts w:ascii="Calibri" w:eastAsia="Calibri" w:hAnsi="Calibri" w:cs="Calibri"/>
          <w:sz w:val="28"/>
          <w:szCs w:val="28"/>
        </w:rPr>
      </w:pPr>
      <w:r>
        <w:rPr>
          <w:rFonts w:ascii="Calibri" w:eastAsia="Calibri" w:hAnsi="Calibri" w:cs="Calibri"/>
          <w:rtl/>
        </w:rPr>
        <w:t xml:space="preserve">وهل تملك الإرادة والحياد والشفافية </w:t>
      </w:r>
      <w:r w:rsidR="00A526C2">
        <w:rPr>
          <w:rFonts w:ascii="Calibri" w:eastAsia="Calibri" w:hAnsi="Calibri" w:cs="Calibri" w:hint="cs"/>
          <w:rtl/>
        </w:rPr>
        <w:t>في</w:t>
      </w:r>
      <w:r>
        <w:rPr>
          <w:rFonts w:ascii="Calibri" w:eastAsia="Calibri" w:hAnsi="Calibri" w:cs="Calibri"/>
          <w:rtl/>
        </w:rPr>
        <w:t xml:space="preserve"> الواقع لتقدير الحالات الإنسانية وعدم العسف بحقوقها من منظور أمنى؟ هذا السؤال يتجاوز النص القانوني إلى تقييم القدرة المؤسسية والممارسة الفعلية للدولة، ولذلك يجب التمييز بين ما يمكن استنتاجه من اللائحة والقانون، وما يتطلب أدلة تجريبية من التطبيق العملي خلال السنوات القادمة.</w:t>
      </w:r>
    </w:p>
    <w:p w14:paraId="00000095" w14:textId="77777777" w:rsidR="00C4221C" w:rsidRDefault="00000000">
      <w:pPr>
        <w:bidi/>
        <w:spacing w:line="276" w:lineRule="auto"/>
        <w:jc w:val="both"/>
        <w:rPr>
          <w:rFonts w:ascii="Calibri" w:eastAsia="Calibri" w:hAnsi="Calibri" w:cs="Calibri"/>
          <w:color w:val="EE0000"/>
          <w:u w:val="single"/>
        </w:rPr>
      </w:pPr>
      <w:r>
        <w:rPr>
          <w:rFonts w:ascii="Calibri" w:eastAsia="Calibri" w:hAnsi="Calibri" w:cs="Calibri"/>
          <w:color w:val="EE0000"/>
          <w:u w:val="single"/>
          <w:rtl/>
        </w:rPr>
        <w:t>أولاً: هل تملك الحكومة المصرية القدرة المؤسسية على تنفيذ القانون؟</w:t>
      </w:r>
    </w:p>
    <w:p w14:paraId="00000096" w14:textId="77777777" w:rsidR="00C4221C" w:rsidRDefault="00000000">
      <w:pPr>
        <w:bidi/>
        <w:spacing w:line="276" w:lineRule="auto"/>
        <w:jc w:val="both"/>
        <w:rPr>
          <w:rFonts w:ascii="Calibri" w:eastAsia="Calibri" w:hAnsi="Calibri" w:cs="Calibri"/>
          <w:b/>
          <w:bCs/>
        </w:rPr>
      </w:pPr>
      <w:r>
        <w:rPr>
          <w:rFonts w:ascii="Calibri" w:eastAsia="Calibri" w:hAnsi="Calibri" w:cs="Calibri"/>
          <w:b/>
          <w:bCs/>
          <w:rtl/>
        </w:rPr>
        <w:t>عوامل تثير الشك في القدرة التنفيذية</w:t>
      </w:r>
    </w:p>
    <w:p w14:paraId="00000097" w14:textId="77777777" w:rsidR="00C4221C" w:rsidRDefault="00000000">
      <w:pPr>
        <w:bidi/>
        <w:spacing w:line="276" w:lineRule="auto"/>
        <w:jc w:val="both"/>
        <w:rPr>
          <w:rFonts w:ascii="Calibri" w:eastAsia="Calibri" w:hAnsi="Calibri" w:cs="Calibri"/>
        </w:rPr>
      </w:pPr>
      <w:r>
        <w:rPr>
          <w:rFonts w:ascii="Calibri" w:eastAsia="Calibri" w:hAnsi="Calibri" w:cs="Calibri"/>
          <w:rtl/>
        </w:rPr>
        <w:t>حجم مجتمع اللاجئين وطالبي اللجوء كبير ومتنوع الجنسيات، وإنشاء نظام وطني جديد بالكامل يتطلب: موظفين مدربين على قانون اللاجئين الدولي/ مترجمين محترفين لعشرات اللغات/ خبراء نفسيين واجتماعيين/ قواعد بيانات مؤمنة ومتطورة/ وحدات متخصصة للأطفال والفئات الهشة.</w:t>
      </w:r>
    </w:p>
    <w:p w14:paraId="00000098" w14:textId="583B7318" w:rsidR="00C4221C" w:rsidRDefault="00000000">
      <w:pPr>
        <w:bidi/>
        <w:spacing w:line="276" w:lineRule="auto"/>
        <w:jc w:val="both"/>
        <w:rPr>
          <w:rFonts w:ascii="Calibri" w:eastAsia="Calibri" w:hAnsi="Calibri" w:cs="Calibri"/>
        </w:rPr>
      </w:pPr>
      <w:r>
        <w:rPr>
          <w:rFonts w:ascii="Calibri" w:eastAsia="Calibri" w:hAnsi="Calibri" w:cs="Calibri"/>
          <w:rtl/>
        </w:rPr>
        <w:t xml:space="preserve">أيضا اللائحة وضعت آجالاً زمنية طموحة نسبياً (مثل الفصل في الطلبات خلال 6 أشهر أو سنة)، وقد يكون الالتزام بها صعباً إذا ارتفع عدد </w:t>
      </w:r>
      <w:r w:rsidR="00A526C2">
        <w:rPr>
          <w:rFonts w:ascii="Calibri" w:eastAsia="Calibri" w:hAnsi="Calibri" w:cs="Calibri" w:hint="cs"/>
          <w:rtl/>
        </w:rPr>
        <w:t>الطلبات لذلك</w:t>
      </w:r>
      <w:r>
        <w:rPr>
          <w:rFonts w:ascii="Calibri" w:eastAsia="Calibri" w:hAnsi="Calibri" w:cs="Calibri"/>
          <w:rtl/>
        </w:rPr>
        <w:t>، من الناحية المؤسسية البحتة، يمكن القول إن التنفيذ ممكن لكنه يحتاج استثمارات كبيرة في الموارد البشرية والتدريب والبنية الإدارية.</w:t>
      </w:r>
    </w:p>
    <w:p w14:paraId="00000099" w14:textId="7BBB5701" w:rsidR="00C4221C" w:rsidRDefault="00000000">
      <w:pPr>
        <w:bidi/>
        <w:spacing w:line="276" w:lineRule="auto"/>
        <w:jc w:val="both"/>
        <w:rPr>
          <w:rFonts w:ascii="Calibri" w:eastAsia="Calibri" w:hAnsi="Calibri" w:cs="Calibri"/>
          <w:color w:val="EE0000"/>
          <w:u w:val="single"/>
        </w:rPr>
      </w:pPr>
      <w:r>
        <w:rPr>
          <w:rFonts w:ascii="Calibri" w:eastAsia="Calibri" w:hAnsi="Calibri" w:cs="Calibri"/>
          <w:color w:val="EE0000"/>
          <w:u w:val="single"/>
          <w:rtl/>
        </w:rPr>
        <w:t>ثانياً: هل تملك الحكومة الإرادة والحياد لتطبيق القانون بمنظور حقوقي؟</w:t>
      </w:r>
    </w:p>
    <w:p w14:paraId="0000009A" w14:textId="77777777" w:rsidR="00C4221C" w:rsidRDefault="00000000">
      <w:pPr>
        <w:bidi/>
        <w:spacing w:line="276" w:lineRule="auto"/>
        <w:jc w:val="both"/>
        <w:rPr>
          <w:rFonts w:ascii="Calibri" w:eastAsia="Calibri" w:hAnsi="Calibri" w:cs="Calibri"/>
        </w:rPr>
      </w:pPr>
      <w:r>
        <w:rPr>
          <w:rFonts w:ascii="Calibri" w:eastAsia="Calibri" w:hAnsi="Calibri" w:cs="Calibri"/>
          <w:rtl/>
        </w:rPr>
        <w:t>هنا ندخل في مجال التقدير السياسي والمؤسسي، وليس من الممكن الجزم بنعم أو لا بصورة مطلقة، لكن يمكن ملاحظة أن اللائحة نفسها تكشف عن وجود اتجاهين متوازيين:</w:t>
      </w:r>
    </w:p>
    <w:p w14:paraId="0000009B" w14:textId="77777777" w:rsidR="00C4221C" w:rsidRDefault="00000000">
      <w:pPr>
        <w:bidi/>
        <w:spacing w:line="276" w:lineRule="auto"/>
        <w:jc w:val="both"/>
        <w:rPr>
          <w:rFonts w:ascii="Calibri" w:eastAsia="Calibri" w:hAnsi="Calibri" w:cs="Calibri"/>
          <w:b/>
          <w:bCs/>
        </w:rPr>
      </w:pPr>
      <w:r>
        <w:rPr>
          <w:rFonts w:ascii="Calibri" w:eastAsia="Calibri" w:hAnsi="Calibri" w:cs="Calibri"/>
          <w:b/>
          <w:bCs/>
          <w:rtl/>
        </w:rPr>
        <w:t xml:space="preserve">الاتجاه الحقوقي: </w:t>
      </w:r>
      <w:r>
        <w:rPr>
          <w:rFonts w:ascii="Calibri" w:eastAsia="Calibri" w:hAnsi="Calibri" w:cs="Calibri"/>
          <w:rtl/>
        </w:rPr>
        <w:t>ويتجسد في المساعدة القانونية المجانية/ حماية الأطفال غير المصحوبين/ الرعاية الصحية/ الترجمة/ مراعاة المصلحة الفضلى للطفل/ أولوية الفئات الأكثر هشاشة/ حق التظلم والطعن القضائي، هذه النصوص لا تُكتب عادة في تشريع يهدف فقط إلى الرقابة الأمنية</w:t>
      </w:r>
    </w:p>
    <w:p w14:paraId="0000009C" w14:textId="77777777" w:rsidR="00C4221C" w:rsidRDefault="00000000">
      <w:pPr>
        <w:bidi/>
        <w:spacing w:line="276" w:lineRule="auto"/>
        <w:jc w:val="both"/>
        <w:rPr>
          <w:rFonts w:ascii="Calibri" w:eastAsia="Calibri" w:hAnsi="Calibri" w:cs="Calibri"/>
          <w:b/>
          <w:bCs/>
        </w:rPr>
      </w:pPr>
      <w:r>
        <w:rPr>
          <w:rFonts w:ascii="Calibri" w:eastAsia="Calibri" w:hAnsi="Calibri" w:cs="Calibri"/>
          <w:b/>
          <w:bCs/>
          <w:rtl/>
        </w:rPr>
        <w:t xml:space="preserve">الاتجاه الأمني: </w:t>
      </w:r>
      <w:r>
        <w:rPr>
          <w:rFonts w:ascii="Calibri" w:eastAsia="Calibri" w:hAnsi="Calibri" w:cs="Calibri"/>
          <w:rtl/>
        </w:rPr>
        <w:t>ويتجسد في</w:t>
      </w:r>
      <w:r>
        <w:rPr>
          <w:rFonts w:ascii="Calibri" w:eastAsia="Calibri" w:hAnsi="Calibri" w:cs="Calibri"/>
          <w:b/>
          <w:bCs/>
        </w:rPr>
        <w:t xml:space="preserve"> </w:t>
      </w:r>
      <w:r>
        <w:rPr>
          <w:rFonts w:ascii="Calibri" w:eastAsia="Calibri" w:hAnsi="Calibri" w:cs="Calibri"/>
          <w:rtl/>
        </w:rPr>
        <w:t>مركزية دور وزارة الداخلية/ جمع البيانات البيومترية/ التدابير المؤقتة الواسعة/ القيود على التنقل/ إمكانية تأجيل الفصل في الطلبات/ الارتباط المباشر بين بعض القرارات وإجراءات الإبعاد، وهذا يعكس أن الدولة تنظر إلى ملف اللجوء من زاويتين معاً:</w:t>
      </w:r>
      <w:r>
        <w:rPr>
          <w:rFonts w:ascii="Calibri" w:eastAsia="Calibri" w:hAnsi="Calibri" w:cs="Calibri"/>
          <w:b/>
          <w:bCs/>
        </w:rPr>
        <w:t xml:space="preserve"> </w:t>
      </w:r>
      <w:r>
        <w:rPr>
          <w:rFonts w:ascii="Calibri" w:eastAsia="Calibri" w:hAnsi="Calibri" w:cs="Calibri"/>
          <w:rtl/>
        </w:rPr>
        <w:t>الحماية الإنسانية والأمن القومي وإدارة الحدود.</w:t>
      </w:r>
    </w:p>
    <w:p w14:paraId="0000009D" w14:textId="77777777" w:rsidR="00C4221C" w:rsidRDefault="00000000">
      <w:pPr>
        <w:bidi/>
        <w:spacing w:line="276" w:lineRule="auto"/>
        <w:jc w:val="both"/>
        <w:rPr>
          <w:rFonts w:ascii="Calibri" w:eastAsia="Calibri" w:hAnsi="Calibri" w:cs="Calibri"/>
          <w:color w:val="EE0000"/>
          <w:u w:val="single"/>
        </w:rPr>
      </w:pPr>
      <w:r>
        <w:rPr>
          <w:rFonts w:ascii="Calibri" w:eastAsia="Calibri" w:hAnsi="Calibri" w:cs="Calibri"/>
          <w:color w:val="EE0000"/>
          <w:u w:val="single"/>
          <w:rtl/>
        </w:rPr>
        <w:t>ثالثاً: هل يوجد خطر من تغليب الاعتبارات الأمنية؟</w:t>
      </w:r>
    </w:p>
    <w:p w14:paraId="0000009E" w14:textId="77777777" w:rsidR="00C4221C" w:rsidRDefault="00000000">
      <w:pPr>
        <w:bidi/>
        <w:spacing w:line="276" w:lineRule="auto"/>
        <w:jc w:val="both"/>
        <w:rPr>
          <w:rFonts w:ascii="Calibri" w:eastAsia="Calibri" w:hAnsi="Calibri" w:cs="Calibri"/>
        </w:rPr>
      </w:pPr>
      <w:r>
        <w:rPr>
          <w:rFonts w:ascii="Calibri" w:eastAsia="Calibri" w:hAnsi="Calibri" w:cs="Calibri"/>
          <w:rtl/>
        </w:rPr>
        <w:t>هذا هو التحدي الأكبر في اللائحة، ليس لأن النصوص تنص صراحة على التعسف، بل لأن كثيراً من المواد تمنح الإدارة سلطة تقديرية واسعة، في الأنظمة القانونية المقارنة، كلما اتسعت السلطة التقديرية زادت أهمية: الشفافية/ الرقابة القضائية/ النشر الدوري للإحصاءات/ حق الوصول إلى المساعدة القانونية/ المراجعة المستقلة للقرارات.</w:t>
      </w:r>
    </w:p>
    <w:p w14:paraId="0000009F" w14:textId="77777777" w:rsidR="00C4221C" w:rsidRDefault="00000000">
      <w:pPr>
        <w:bidi/>
        <w:spacing w:line="276" w:lineRule="auto"/>
        <w:jc w:val="both"/>
        <w:rPr>
          <w:rFonts w:ascii="Calibri" w:eastAsia="Calibri" w:hAnsi="Calibri" w:cs="Calibri"/>
          <w:color w:val="EE0000"/>
          <w:u w:val="single"/>
        </w:rPr>
      </w:pPr>
      <w:r>
        <w:rPr>
          <w:rFonts w:ascii="Calibri" w:eastAsia="Calibri" w:hAnsi="Calibri" w:cs="Calibri"/>
          <w:color w:val="EE0000"/>
          <w:u w:val="single"/>
          <w:rtl/>
        </w:rPr>
        <w:t>رابعاً: هل يمكن التنبؤ بمدى الحياد والشفافية؟</w:t>
      </w:r>
    </w:p>
    <w:p w14:paraId="000000A0" w14:textId="77777777" w:rsidR="00C4221C" w:rsidRDefault="00000000">
      <w:pPr>
        <w:bidi/>
        <w:spacing w:line="276" w:lineRule="auto"/>
        <w:jc w:val="both"/>
        <w:rPr>
          <w:rFonts w:ascii="Calibri" w:eastAsia="Calibri" w:hAnsi="Calibri" w:cs="Calibri"/>
        </w:rPr>
      </w:pPr>
      <w:r>
        <w:rPr>
          <w:rFonts w:ascii="Calibri" w:eastAsia="Calibri" w:hAnsi="Calibri" w:cs="Calibri"/>
          <w:rtl/>
        </w:rPr>
        <w:t>لا يمكن الجزم بذلك قبل ظهور الممارسة العملية، ولكن المؤشرات الحقيقية ستكون إذا قامت اللجنة بنشر عدد الطلبات المقدمة/ عدد الطلبات المقبولة والمرفوضة/ أسباب الرفض/ متوسط مدة الفصل/ عدد التظلمات المقبولة، فسيكون ذلك مؤشراً على الشفافية.</w:t>
      </w:r>
    </w:p>
    <w:p w14:paraId="000000A3" w14:textId="5D05AD42" w:rsidR="00C4221C" w:rsidRDefault="00000000" w:rsidP="00A526C2">
      <w:pPr>
        <w:bidi/>
        <w:spacing w:line="276" w:lineRule="auto"/>
        <w:jc w:val="both"/>
        <w:rPr>
          <w:rFonts w:ascii="Calibri" w:eastAsia="Calibri" w:hAnsi="Calibri" w:cs="Calibri"/>
        </w:rPr>
      </w:pPr>
      <w:r>
        <w:rPr>
          <w:rFonts w:ascii="Calibri" w:eastAsia="Calibri" w:hAnsi="Calibri" w:cs="Calibri"/>
          <w:rtl/>
        </w:rPr>
        <w:t xml:space="preserve">وإذا لوحظ عملياً أن المقابلات تُجرى بشكل مهني/ المحامون يستطيعون الوصول إلى الملفات/ الأطفال والفئات الهشة يحصلون على الحماية المقررة/ القضاء الإداري يراجع القرارات بفعالية، فسيكون ذلك مؤشراً على الحياد، أما إذا أصبحت </w:t>
      </w:r>
      <w:r>
        <w:rPr>
          <w:rFonts w:ascii="Calibri" w:eastAsia="Calibri" w:hAnsi="Calibri" w:cs="Calibri"/>
          <w:rtl/>
        </w:rPr>
        <w:lastRenderedPageBreak/>
        <w:t>الاعتبارات الأمنية هي العامل الغالب في القبول والرفض، فستظهر الانتقادات سريعاً من المنظمات الحقوقية والمحاكم ومجتمعات اللاجئين.</w:t>
      </w:r>
    </w:p>
    <w:sectPr w:rsidR="00C4221C">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BA64F" w14:textId="77777777" w:rsidR="00434F64" w:rsidRDefault="00434F64">
      <w:pPr>
        <w:spacing w:after="0" w:line="240" w:lineRule="auto"/>
      </w:pPr>
      <w:r>
        <w:separator/>
      </w:r>
    </w:p>
  </w:endnote>
  <w:endnote w:type="continuationSeparator" w:id="0">
    <w:p w14:paraId="5E66DA8D" w14:textId="77777777" w:rsidR="00434F64" w:rsidRDefault="00434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45BC5FCE-E213-6247-81C8-386D878A6EEC}"/>
  </w:font>
  <w:font w:name="Courier New">
    <w:panose1 w:val="02070309020205020404"/>
    <w:charset w:val="00"/>
    <w:family w:val="modern"/>
    <w:pitch w:val="fixed"/>
    <w:sig w:usb0="E0002AFF" w:usb1="C0007843" w:usb2="00000009" w:usb3="00000000" w:csb0="000001FF" w:csb1="00000000"/>
    <w:embedRegular r:id="rId2" w:fontKey="{6C8381AE-C55D-AF43-81A2-99F2FE68D688}"/>
  </w:font>
  <w:font w:name="Aptos">
    <w:panose1 w:val="020B0004020202020204"/>
    <w:charset w:val="00"/>
    <w:family w:val="swiss"/>
    <w:pitch w:val="variable"/>
    <w:sig w:usb0="20000287" w:usb1="00000003" w:usb2="00000000" w:usb3="00000000" w:csb0="0000019F" w:csb1="00000000"/>
    <w:embedRegular r:id="rId3" w:fontKey="{B2E4E30B-9E5A-7C44-B91B-146F9C062BDB}"/>
    <w:embedBold r:id="rId4" w:fontKey="{9EF92DE7-EFF6-5248-AD68-7BF3A98D0373}"/>
    <w:embedItalic r:id="rId5" w:fontKey="{D1772462-C7FA-AC44-BC5A-99EBAC6134D3}"/>
  </w:font>
  <w:font w:name="Play">
    <w:panose1 w:val="020B0604020202020204"/>
    <w:charset w:val="00"/>
    <w:family w:val="auto"/>
    <w:pitch w:val="default"/>
    <w:embedRegular r:id="rId6" w:fontKey="{67940164-6CE4-AA43-9130-6EC034785A9F}"/>
  </w:font>
  <w:font w:name="Times New Roman">
    <w:panose1 w:val="02020603050405020304"/>
    <w:charset w:val="00"/>
    <w:family w:val="roman"/>
    <w:pitch w:val="variable"/>
    <w:sig w:usb0="E0002EFF" w:usb1="C000785B" w:usb2="00000009" w:usb3="00000000" w:csb0="000001FF" w:csb1="00000000"/>
    <w:embedRegular r:id="rId7" w:fontKey="{6829C4CF-C51D-A64E-8E1D-59536E098D94}"/>
  </w:font>
  <w:font w:name="Calibri">
    <w:panose1 w:val="020F0502020204030204"/>
    <w:charset w:val="00"/>
    <w:family w:val="swiss"/>
    <w:pitch w:val="variable"/>
    <w:sig w:usb0="E4002EFF" w:usb1="C200247B" w:usb2="00000009" w:usb3="00000000" w:csb0="000001FF" w:csb1="00000000"/>
    <w:embedRegular r:id="rId8" w:fontKey="{7BC5D575-76AB-454F-B9D0-881C48C6B2C9}"/>
    <w:embedBold r:id="rId9" w:fontKey="{49D78A1F-6106-DE4B-9729-4654AEBAF7DD}"/>
  </w:font>
  <w:font w:name="Roboto">
    <w:panose1 w:val="02000000000000000000"/>
    <w:charset w:val="00"/>
    <w:family w:val="auto"/>
    <w:pitch w:val="variable"/>
    <w:sig w:usb0="E0000AFF" w:usb1="5000217F" w:usb2="00000021" w:usb3="00000000" w:csb0="0000019F" w:csb1="00000000"/>
    <w:embedRegular r:id="rId10" w:fontKey="{16F97E20-3666-5245-9B09-DBB58D330ADA}"/>
  </w:font>
  <w:font w:name="Arial">
    <w:panose1 w:val="020B0604020202020204"/>
    <w:charset w:val="00"/>
    <w:family w:val="swiss"/>
    <w:pitch w:val="variable"/>
    <w:sig w:usb0="E0002AFF" w:usb1="C0007843" w:usb2="00000009" w:usb3="00000000" w:csb0="000001FF" w:csb1="00000000"/>
    <w:embedRegular r:id="rId11" w:fontKey="{12F942C4-1F72-0A44-ABAE-3682BADDB350}"/>
  </w:font>
  <w:font w:name="Cambria">
    <w:panose1 w:val="02040503050406030204"/>
    <w:charset w:val="00"/>
    <w:family w:val="roman"/>
    <w:pitch w:val="variable"/>
    <w:sig w:usb0="E00006FF" w:usb1="420024FF" w:usb2="02000000" w:usb3="00000000" w:csb0="0000019F" w:csb1="00000000"/>
    <w:embedRegular r:id="rId12" w:fontKey="{4B8F7F95-76BB-5D4A-A184-F28294237C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4" w14:textId="2F9C6069" w:rsidR="00C4221C"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 xml:space="preserve">Page </w:t>
    </w:r>
    <w:r>
      <w:rPr>
        <w:b/>
        <w:bCs/>
        <w:color w:val="000000"/>
      </w:rPr>
      <w:fldChar w:fldCharType="begin"/>
    </w:r>
    <w:r>
      <w:rPr>
        <w:b/>
        <w:bCs/>
        <w:color w:val="000000"/>
      </w:rPr>
      <w:instrText>PAGE</w:instrText>
    </w:r>
    <w:r>
      <w:rPr>
        <w:b/>
        <w:bCs/>
        <w:color w:val="000000"/>
      </w:rPr>
      <w:fldChar w:fldCharType="separate"/>
    </w:r>
    <w:r w:rsidR="00A526C2">
      <w:rPr>
        <w:b/>
        <w:bCs/>
        <w:noProof/>
        <w:color w:val="000000"/>
      </w:rPr>
      <w:t>1</w:t>
    </w:r>
    <w:r>
      <w:rPr>
        <w:b/>
        <w:bCs/>
        <w:color w:val="000000"/>
      </w:rPr>
      <w:fldChar w:fldCharType="end"/>
    </w:r>
    <w:r>
      <w:rPr>
        <w:color w:val="000000"/>
      </w:rPr>
      <w:t xml:space="preserve"> of </w:t>
    </w:r>
    <w:r>
      <w:rPr>
        <w:b/>
        <w:bCs/>
        <w:color w:val="000000"/>
      </w:rPr>
      <w:fldChar w:fldCharType="begin"/>
    </w:r>
    <w:r>
      <w:rPr>
        <w:b/>
        <w:bCs/>
        <w:color w:val="000000"/>
      </w:rPr>
      <w:instrText>NUMPAGES</w:instrText>
    </w:r>
    <w:r>
      <w:rPr>
        <w:b/>
        <w:bCs/>
        <w:color w:val="000000"/>
      </w:rPr>
      <w:fldChar w:fldCharType="separate"/>
    </w:r>
    <w:r w:rsidR="00A526C2">
      <w:rPr>
        <w:b/>
        <w:bCs/>
        <w:noProof/>
        <w:color w:val="000000"/>
      </w:rPr>
      <w:t>2</w:t>
    </w:r>
    <w:r>
      <w:rPr>
        <w:b/>
        <w:bCs/>
        <w:color w:val="000000"/>
      </w:rPr>
      <w:fldChar w:fldCharType="end"/>
    </w:r>
  </w:p>
  <w:p w14:paraId="000000A5" w14:textId="77777777" w:rsidR="00C4221C" w:rsidRDefault="00C4221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3F30E" w14:textId="77777777" w:rsidR="00434F64" w:rsidRDefault="00434F64">
      <w:pPr>
        <w:spacing w:after="0" w:line="240" w:lineRule="auto"/>
      </w:pPr>
      <w:r>
        <w:separator/>
      </w:r>
    </w:p>
  </w:footnote>
  <w:footnote w:type="continuationSeparator" w:id="0">
    <w:p w14:paraId="175F133D" w14:textId="77777777" w:rsidR="00434F64" w:rsidRDefault="00434F64">
      <w:pPr>
        <w:spacing w:after="0" w:line="240" w:lineRule="auto"/>
      </w:pPr>
      <w:r>
        <w:continuationSeparator/>
      </w:r>
    </w:p>
  </w:footnote>
  <w:footnote w:id="1">
    <w:p w14:paraId="000000A8" w14:textId="77777777" w:rsidR="00C4221C" w:rsidRDefault="00000000">
      <w:pPr>
        <w:bidi/>
        <w:spacing w:after="0" w:line="240" w:lineRule="auto"/>
        <w:rPr>
          <w:color w:val="FF0000"/>
          <w:sz w:val="20"/>
          <w:szCs w:val="20"/>
        </w:rPr>
      </w:pPr>
      <w:r>
        <w:rPr>
          <w:vertAlign w:val="superscript"/>
        </w:rPr>
        <w:footnoteRef/>
      </w:r>
      <w:r>
        <w:rPr>
          <w:sz w:val="20"/>
          <w:szCs w:val="20"/>
        </w:rPr>
        <w:t xml:space="preserve"> </w:t>
      </w:r>
      <w:r>
        <w:rPr>
          <w:color w:val="FF0000"/>
          <w:sz w:val="20"/>
          <w:szCs w:val="20"/>
          <w:rtl/>
        </w:rPr>
        <w:t xml:space="preserve">تعليق قانوني بعنوان تصدر دراسة تحليلية حول قانون اللجوء المصري رقم ١٦٤ لسنة ٢٠٢٤ وتأثيره على مجتمعات اللاجئين في مصر، المفوضية المصرية للحقوق والحريات، تاريخ النشر18 ديسمبر 2025، تاريخ الوصول 14 يونيو 2026، متاح عبر الرابط التالي: </w:t>
      </w:r>
      <w:r>
        <w:rPr>
          <w:color w:val="FF0000"/>
          <w:sz w:val="20"/>
          <w:szCs w:val="20"/>
        </w:rPr>
        <w:t xml:space="preserve"> </w:t>
      </w:r>
      <w:hyperlink r:id="rId1">
        <w:r>
          <w:rPr>
            <w:color w:val="1155CC"/>
            <w:sz w:val="20"/>
            <w:szCs w:val="20"/>
            <w:u w:val="single"/>
          </w:rPr>
          <w:t>https://www.ec-rf.net/%d8%a7%d9%84%d9%85%d9%81%d9%88%d8%b6%d9%8a%d8%a9-%d8%a7%d9%84%d9%85%d8%b5%d8%b1%d9%8a%d8%a9-%d8%aa%d8%b5%d8%af%d8%b1-%d8%af%d8%b1%d8%a7%d8%b3%d8%a9-%d8%aa%d8%ad%d9%84%d9%8a%d9%84%d9%8a%d8%a9/</w:t>
        </w:r>
      </w:hyperlink>
      <w:r>
        <w:rPr>
          <w:color w:val="FF0000"/>
          <w:sz w:val="20"/>
          <w:szCs w:val="20"/>
        </w:rPr>
        <w:t xml:space="preserve"> </w:t>
      </w:r>
    </w:p>
  </w:footnote>
  <w:footnote w:id="2">
    <w:p w14:paraId="000000A9" w14:textId="0F649910" w:rsidR="00C4221C" w:rsidRDefault="00000000">
      <w:pPr>
        <w:bidi/>
        <w:spacing w:after="0" w:line="240" w:lineRule="auto"/>
        <w:rPr>
          <w:rFonts w:ascii="Roboto" w:eastAsia="Roboto" w:hAnsi="Roboto" w:cs="Roboto"/>
          <w:color w:val="4A4A4A"/>
          <w:sz w:val="27"/>
          <w:szCs w:val="27"/>
        </w:rPr>
      </w:pPr>
      <w:r>
        <w:rPr>
          <w:vertAlign w:val="superscript"/>
        </w:rPr>
        <w:footnoteRef/>
      </w:r>
      <w:r>
        <w:rPr>
          <w:sz w:val="20"/>
          <w:szCs w:val="20"/>
          <w:rtl/>
        </w:rPr>
        <w:t xml:space="preserve"> المادة 35 من الاتفاقية الخاصة بوضع اللاجئين" تعاون السلطات الوطنية مع الأمم المتحدة</w:t>
      </w:r>
      <w:r>
        <w:rPr>
          <w:sz w:val="20"/>
          <w:szCs w:val="20"/>
          <w:rtl/>
        </w:rPr>
        <w:br/>
        <w:t xml:space="preserve">1. تتعهد الدول المتعاقدة بالتعاون مع مفوضية الأمم المتحدة لشؤون اللاجئين، أو أية مؤسسة أخري تابعة للأمم المتحدة قد تخلفها، في ممارسة وظائفها، وتتعهد </w:t>
      </w:r>
      <w:r w:rsidR="00A526C2">
        <w:rPr>
          <w:rFonts w:cs="Times New Roman" w:hint="cs"/>
          <w:sz w:val="20"/>
          <w:szCs w:val="20"/>
          <w:rtl/>
        </w:rPr>
        <w:t>على</w:t>
      </w:r>
      <w:r>
        <w:rPr>
          <w:sz w:val="20"/>
          <w:szCs w:val="20"/>
          <w:rtl/>
        </w:rPr>
        <w:t xml:space="preserve"> وجه الخصوص بتسهيل مهمتها في الإشراف على تطبيق أحكام هذه الاتفاقية.</w:t>
      </w:r>
      <w:r>
        <w:rPr>
          <w:sz w:val="20"/>
          <w:szCs w:val="20"/>
          <w:rtl/>
        </w:rPr>
        <w:br/>
        <w:t>2. من أجل جعل المفوضية، أو أية مؤسسة أخري تابعة للأمم المتحدة قد تخلفها، قادرة عل</w:t>
      </w:r>
      <w:r w:rsidR="00A526C2">
        <w:rPr>
          <w:rFonts w:cs="Arial" w:hint="cs"/>
          <w:sz w:val="20"/>
          <w:szCs w:val="20"/>
          <w:rtl/>
        </w:rPr>
        <w:t>ى</w:t>
      </w:r>
      <w:r>
        <w:rPr>
          <w:sz w:val="20"/>
          <w:szCs w:val="20"/>
          <w:rtl/>
        </w:rPr>
        <w:t xml:space="preserve"> تقديم تقارير إلى الهيئات المختصة في الأمم المتحدة، تتعهد الدول المتعاقدة بتزويدها </w:t>
      </w:r>
      <w:r w:rsidR="00A526C2">
        <w:rPr>
          <w:rFonts w:cs="Times New Roman" w:hint="cs"/>
          <w:sz w:val="20"/>
          <w:szCs w:val="20"/>
          <w:rtl/>
        </w:rPr>
        <w:t>على</w:t>
      </w:r>
      <w:r>
        <w:rPr>
          <w:sz w:val="20"/>
          <w:szCs w:val="20"/>
          <w:rtl/>
        </w:rPr>
        <w:t xml:space="preserve"> الشكل المناسب بالمعلومات والبيانات الإحصائية المطلوبة بشأن:</w:t>
      </w:r>
      <w:r>
        <w:rPr>
          <w:sz w:val="20"/>
          <w:szCs w:val="20"/>
          <w:rtl/>
        </w:rPr>
        <w:br/>
        <w:t>(أ) وضع اللاجئين،</w:t>
      </w:r>
      <w:r>
        <w:rPr>
          <w:sz w:val="20"/>
          <w:szCs w:val="20"/>
          <w:rtl/>
        </w:rPr>
        <w:br/>
        <w:t>(ب) وضع هذه الاتفاقية موضع التنفيذ،</w:t>
      </w:r>
      <w:r>
        <w:rPr>
          <w:sz w:val="20"/>
          <w:szCs w:val="20"/>
          <w:rtl/>
        </w:rPr>
        <w:br/>
        <w:t>(ج) القوانين والأنظمة والمراسيم النافذة أو التي قد تصبح بعد الآن نافذة بشأن اللاجئين.</w:t>
      </w:r>
    </w:p>
    <w:p w14:paraId="000000AA" w14:textId="77777777" w:rsidR="00C4221C" w:rsidRDefault="00C4221C">
      <w:pPr>
        <w:bidi/>
        <w:spacing w:after="0" w:line="240" w:lineRule="auto"/>
        <w:rPr>
          <w:sz w:val="20"/>
          <w:szCs w:val="20"/>
        </w:rPr>
      </w:pPr>
    </w:p>
  </w:footnote>
  <w:footnote w:id="3">
    <w:p w14:paraId="000000A7" w14:textId="77777777" w:rsidR="00C4221C" w:rsidRDefault="00000000">
      <w:pPr>
        <w:bidi/>
        <w:spacing w:after="0" w:line="240" w:lineRule="auto"/>
        <w:rPr>
          <w:sz w:val="20"/>
          <w:szCs w:val="20"/>
        </w:rPr>
      </w:pPr>
      <w:r>
        <w:rPr>
          <w:vertAlign w:val="superscript"/>
        </w:rPr>
        <w:footnoteRef/>
      </w:r>
      <w:r>
        <w:rPr>
          <w:sz w:val="20"/>
          <w:szCs w:val="20"/>
          <w:rtl/>
        </w:rPr>
        <w:t xml:space="preserve"> راجع المبدأ 31 من اتفاقية وضع اللاجئين عام 1951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6" w14:textId="77777777" w:rsidR="00C4221C" w:rsidRDefault="00C4221C">
    <w:pPr>
      <w:bid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3F0E17"/>
    <w:multiLevelType w:val="multilevel"/>
    <w:tmpl w:val="5422F6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36E746A"/>
    <w:multiLevelType w:val="multilevel"/>
    <w:tmpl w:val="BD38B1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4252504"/>
    <w:multiLevelType w:val="multilevel"/>
    <w:tmpl w:val="6816ABC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F781A9D"/>
    <w:multiLevelType w:val="multilevel"/>
    <w:tmpl w:val="5CC6A2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426533827">
    <w:abstractNumId w:val="1"/>
  </w:num>
  <w:num w:numId="2" w16cid:durableId="1637182653">
    <w:abstractNumId w:val="3"/>
  </w:num>
  <w:num w:numId="3" w16cid:durableId="1148980052">
    <w:abstractNumId w:val="0"/>
  </w:num>
  <w:num w:numId="4" w16cid:durableId="2685834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21C"/>
    <w:rsid w:val="002A4DBA"/>
    <w:rsid w:val="00434F64"/>
    <w:rsid w:val="00A526C2"/>
    <w:rsid w:val="00C4221C"/>
    <w:rsid w:val="00F166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3F1AAACE"/>
  <w15:docId w15:val="{00AF049E-FF55-E640-BE45-2134C7207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iCs/>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rFonts w:ascii="Play" w:eastAsia="Play" w:hAnsi="Play" w:cs="Play"/>
      <w:sz w:val="56"/>
      <w:szCs w:val="56"/>
    </w:rPr>
  </w:style>
  <w:style w:type="paragraph" w:styleId="a4">
    <w:name w:val="Subtitle"/>
    <w:basedOn w:val="a"/>
    <w:next w:val="a"/>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ec-rf.net/%d8%a7%d9%84%d9%85%d9%81%d9%88%d8%b6%d9%8a%d8%a9-%d8%a7%d9%84%d9%85%d8%b5%d8%b1%d9%8a%d8%a9-%d8%aa%d8%b5%d8%af%d8%b1-%d8%af%d8%b1%d8%a7%d8%b3%d8%a9-%d8%aa%d8%ad%d9%84%d9%8a%d9%84%d9%8a%d8%a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In+b3a1ltEUfTZzLlsQRuuCytg==">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3082</Words>
  <Characters>17568</Characters>
  <Application>Microsoft Office Word</Application>
  <DocSecurity>0</DocSecurity>
  <Lines>146</Lines>
  <Paragraphs>41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Ahmed Ramadan</cp:lastModifiedBy>
  <cp:revision>2</cp:revision>
  <dcterms:created xsi:type="dcterms:W3CDTF">2026-06-21T14:17:00Z</dcterms:created>
  <dcterms:modified xsi:type="dcterms:W3CDTF">2026-06-21T14:30:00Z</dcterms:modified>
</cp:coreProperties>
</file>